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639" w:rsidRPr="00CD4C85" w:rsidRDefault="003A2F38" w:rsidP="00291639">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291639" w:rsidRPr="00CD4C85">
        <w:rPr>
          <w:rFonts w:ascii="Arial" w:hAnsi="Arial" w:cs="Arial"/>
          <w:sz w:val="20"/>
          <w:szCs w:val="20"/>
        </w:rPr>
        <w:t>A suspension bridge 307.9 m (1010 ft) long was designed and constructed by the German-American engineer John Roebling over the Ohio River, at Wheeling, West Virginia, in 1846. It was the first long-span wire-cable suspension bridge in the world. The Brooklyn Bridge in New York City, also designed by Roebling, was opened in 1883 with a central span of 486.2 m (1595 ft). The George Washington Bridge, completed in 1931, has a suspension span 1066.8 m (3500 ft) long. The Golden Gate Bridge (</w:t>
      </w:r>
      <w:r w:rsidR="00291639" w:rsidRPr="00CD4C85">
        <w:rPr>
          <w:rFonts w:ascii="Arial" w:hAnsi="Arial" w:cs="Arial"/>
          <w:i/>
          <w:iCs/>
          <w:sz w:val="20"/>
          <w:szCs w:val="20"/>
        </w:rPr>
        <w:t>see</w:t>
      </w:r>
      <w:r w:rsidR="00291639" w:rsidRPr="00CD4C85">
        <w:rPr>
          <w:rFonts w:ascii="Arial" w:hAnsi="Arial" w:cs="Arial"/>
          <w:sz w:val="20"/>
          <w:szCs w:val="20"/>
        </w:rPr>
        <w:t xml:space="preserve"> Golden Gate) at San Francisco, opened in 1937, has a center span of 1280.2 m (4200 ft) suspended from towers 227.4 m (746 ft) high. It has a channel clearance of 67.1 m (220 ft). Completed in 1958, the Mackinac Bridge in Michigan has a central span of 1158.2 m (3800 ft). The Verrazano-Narrows Bridge (1964) between Brooklyn and Staten Island in New York City has a center span of 1298.5 m (4260 ft). The longest suspension bridge in the world opened in 1980 over the Humber Estuary in England with a span of 1410 m (4626 ft). The highest suspension bridge, 321 m (1053 ft) above the water, crosses the Royal Gorge of the Arkansas River in Colorado. Late in 1973, a 1079-m (3540-ft) suspension bridge across the Bosporus at I</w:t>
      </w:r>
      <w:proofErr w:type="spellStart"/>
      <w:r w:rsidR="00291639" w:rsidRPr="00CD4C85">
        <w:rPr>
          <w:rFonts w:ascii="Arial" w:hAnsi="Arial" w:cs="Arial"/>
          <w:sz w:val="20"/>
          <w:szCs w:val="20"/>
        </w:rPr>
        <w:t>stanbul</w:t>
      </w:r>
      <w:proofErr w:type="spellEnd"/>
      <w:r w:rsidR="00291639" w:rsidRPr="00CD4C85">
        <w:rPr>
          <w:rFonts w:ascii="Arial" w:hAnsi="Arial" w:cs="Arial"/>
          <w:sz w:val="20"/>
          <w:szCs w:val="20"/>
        </w:rPr>
        <w:t>, Turkey, was opened and became the first permanent highway link between Europe and Asia.</w:t>
      </w:r>
    </w:p>
    <w:p w:rsidR="00291639" w:rsidRPr="00CD4C85" w:rsidRDefault="00291639" w:rsidP="00291639">
      <w:pPr>
        <w:autoSpaceDE w:val="0"/>
        <w:autoSpaceDN w:val="0"/>
        <w:adjustRightInd w:val="0"/>
        <w:spacing w:after="0" w:line="240" w:lineRule="auto"/>
        <w:rPr>
          <w:rFonts w:ascii="Arial" w:hAnsi="Arial" w:cs="Arial"/>
          <w:sz w:val="20"/>
          <w:szCs w:val="20"/>
        </w:rPr>
      </w:pPr>
    </w:p>
    <w:p w:rsidR="00291639" w:rsidRPr="00CD4C85" w:rsidRDefault="003A2F38" w:rsidP="00291639">
      <w:pPr>
        <w:autoSpaceDE w:val="0"/>
        <w:autoSpaceDN w:val="0"/>
        <w:adjustRightInd w:val="0"/>
        <w:spacing w:after="80" w:line="240" w:lineRule="auto"/>
        <w:rPr>
          <w:rFonts w:ascii="Arial" w:hAnsi="Arial" w:cs="Arial"/>
          <w:sz w:val="20"/>
          <w:szCs w:val="20"/>
        </w:rPr>
      </w:pPr>
      <w:r>
        <w:rPr>
          <w:rFonts w:ascii="Arial" w:hAnsi="Arial" w:cs="Arial"/>
          <w:b/>
          <w:bCs/>
          <w:sz w:val="20"/>
          <w:szCs w:val="20"/>
        </w:rPr>
        <w:tab/>
      </w:r>
      <w:r w:rsidR="00291639" w:rsidRPr="00CD4C85">
        <w:rPr>
          <w:rFonts w:ascii="Arial" w:hAnsi="Arial" w:cs="Arial"/>
          <w:b/>
          <w:bCs/>
          <w:sz w:val="20"/>
          <w:szCs w:val="20"/>
        </w:rPr>
        <w:t xml:space="preserve">Steel-Arch Bridges </w:t>
      </w:r>
    </w:p>
    <w:p w:rsidR="00291639" w:rsidRPr="00CD4C85" w:rsidRDefault="003A2F38" w:rsidP="00291639">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291639" w:rsidRPr="00CD4C85">
        <w:rPr>
          <w:rFonts w:ascii="Arial" w:hAnsi="Arial" w:cs="Arial"/>
          <w:sz w:val="20"/>
          <w:szCs w:val="20"/>
        </w:rPr>
        <w:t xml:space="preserve">The first steel bridge was built across the Mississippi at Saint Louis, Missouri, by the American engineer James Buchanan Eads, and opened in 1874. The three arches span 153, 158.5, and 153 m (502, 520, and 502 ft). The Hell Gate railroad bridge across the East River in New York City was the longest steel-arch span in the world when it was completed in 1917. The bridge, designed by the American engineer Gustav </w:t>
      </w:r>
      <w:proofErr w:type="spellStart"/>
      <w:r w:rsidR="00291639" w:rsidRPr="00CD4C85">
        <w:rPr>
          <w:rFonts w:ascii="Arial" w:hAnsi="Arial" w:cs="Arial"/>
          <w:sz w:val="20"/>
          <w:szCs w:val="20"/>
        </w:rPr>
        <w:t>Lindenthal</w:t>
      </w:r>
      <w:proofErr w:type="spellEnd"/>
      <w:r w:rsidR="00291639" w:rsidRPr="00CD4C85">
        <w:rPr>
          <w:rFonts w:ascii="Arial" w:hAnsi="Arial" w:cs="Arial"/>
          <w:sz w:val="20"/>
          <w:szCs w:val="20"/>
        </w:rPr>
        <w:t xml:space="preserve">, has a span of 297.8 m (977 ft). This span was exceeded by the Bayonne Bridge (1931) from Bayonne, New Jersey, to Staten Island, New York, with a span of 503.5 m (1652 ft) and a total length of 2468.9 m (8100 ft) and by the Sydney Harbor railroad bridge (1932), New South Wales, Australia, with a span of 502.9 m (1650 ft). The bridge crossing the Niagara River between </w:t>
      </w:r>
      <w:proofErr w:type="spellStart"/>
      <w:r w:rsidR="00291639" w:rsidRPr="00CD4C85">
        <w:rPr>
          <w:rFonts w:ascii="Arial" w:hAnsi="Arial" w:cs="Arial"/>
          <w:sz w:val="20"/>
          <w:szCs w:val="20"/>
        </w:rPr>
        <w:t>Queenston</w:t>
      </w:r>
      <w:proofErr w:type="spellEnd"/>
      <w:r w:rsidR="00291639" w:rsidRPr="00CD4C85">
        <w:rPr>
          <w:rFonts w:ascii="Arial" w:hAnsi="Arial" w:cs="Arial"/>
          <w:sz w:val="20"/>
          <w:szCs w:val="20"/>
        </w:rPr>
        <w:t>, Ontario, and Lewiston, New York, which opened in 1965, employs a 304.8-m (1000-ft) steel arch, the longest fixed steel-rib-arch span in the world. The New River Gorge Bridge at Fayetteville, West Virginia, completed in 1977, has a span of 518.5 m (1700 ft).</w:t>
      </w:r>
      <w:r w:rsidR="00291639" w:rsidRPr="00CD4C85">
        <w:rPr>
          <w:rFonts w:ascii="Arial" w:hAnsi="Arial" w:cs="Arial"/>
          <w:position w:val="6"/>
          <w:sz w:val="20"/>
          <w:szCs w:val="20"/>
        </w:rPr>
        <w:footnoteReference w:id="1"/>
      </w:r>
    </w:p>
    <w:p w:rsidR="00DC5FAB" w:rsidRPr="00CD4C85" w:rsidRDefault="00DC5FAB">
      <w:pPr>
        <w:rPr>
          <w:rFonts w:ascii="Arial" w:hAnsi="Arial" w:cs="Arial"/>
          <w:sz w:val="20"/>
          <w:szCs w:val="20"/>
        </w:rPr>
      </w:pPr>
    </w:p>
    <w:p w:rsidR="00291639" w:rsidRPr="00CD4C85" w:rsidRDefault="00291639">
      <w:pPr>
        <w:rPr>
          <w:rFonts w:ascii="Arial" w:hAnsi="Arial" w:cs="Arial"/>
          <w:sz w:val="20"/>
          <w:szCs w:val="20"/>
        </w:rPr>
      </w:pPr>
    </w:p>
    <w:p w:rsidR="00C06663" w:rsidRPr="00CD4C85" w:rsidRDefault="003A2F38" w:rsidP="00C06663">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C06663" w:rsidRPr="00CD4C85">
        <w:rPr>
          <w:rFonts w:ascii="Arial" w:hAnsi="Arial" w:cs="Arial"/>
          <w:sz w:val="20"/>
          <w:szCs w:val="20"/>
        </w:rPr>
        <w:t xml:space="preserve">Lay worship in Buddhism is primarily individual rather than congregational. Since earliest times a common expression of faith for laity and members of the </w:t>
      </w:r>
      <w:proofErr w:type="spellStart"/>
      <w:r w:rsidR="00C06663" w:rsidRPr="00CD4C85">
        <w:rPr>
          <w:rFonts w:ascii="Arial" w:hAnsi="Arial" w:cs="Arial"/>
          <w:i/>
          <w:iCs/>
          <w:sz w:val="20"/>
          <w:szCs w:val="20"/>
        </w:rPr>
        <w:t>sangha</w:t>
      </w:r>
      <w:proofErr w:type="spellEnd"/>
      <w:r w:rsidR="00C06663" w:rsidRPr="00CD4C85">
        <w:rPr>
          <w:rFonts w:ascii="Arial" w:hAnsi="Arial" w:cs="Arial"/>
          <w:sz w:val="20"/>
          <w:szCs w:val="20"/>
        </w:rPr>
        <w:t xml:space="preserve"> alike has been taking the Three Refuges, that is, reciting the formula “I take refuge in the Buddha. I take refuge in the dharma. I take refuge in the </w:t>
      </w:r>
      <w:proofErr w:type="spellStart"/>
      <w:r w:rsidR="00C06663" w:rsidRPr="00CD4C85">
        <w:rPr>
          <w:rFonts w:ascii="Arial" w:hAnsi="Arial" w:cs="Arial"/>
          <w:i/>
          <w:iCs/>
          <w:sz w:val="20"/>
          <w:szCs w:val="20"/>
        </w:rPr>
        <w:t>sangha</w:t>
      </w:r>
      <w:proofErr w:type="spellEnd"/>
      <w:r w:rsidR="00C06663" w:rsidRPr="00CD4C85">
        <w:rPr>
          <w:rFonts w:ascii="Arial" w:hAnsi="Arial" w:cs="Arial"/>
          <w:sz w:val="20"/>
          <w:szCs w:val="20"/>
        </w:rPr>
        <w:t xml:space="preserve">.” Although technically the Buddha is not worshiped in Theravada, veneration is shown through the </w:t>
      </w:r>
      <w:proofErr w:type="spellStart"/>
      <w:r w:rsidR="00C06663" w:rsidRPr="00CD4C85">
        <w:rPr>
          <w:rFonts w:ascii="Arial" w:hAnsi="Arial" w:cs="Arial"/>
          <w:sz w:val="20"/>
          <w:szCs w:val="20"/>
        </w:rPr>
        <w:t>stupa</w:t>
      </w:r>
      <w:proofErr w:type="spellEnd"/>
      <w:r w:rsidR="00C06663" w:rsidRPr="00CD4C85">
        <w:rPr>
          <w:rFonts w:ascii="Arial" w:hAnsi="Arial" w:cs="Arial"/>
          <w:sz w:val="20"/>
          <w:szCs w:val="20"/>
        </w:rPr>
        <w:t xml:space="preserve"> cult. A </w:t>
      </w:r>
      <w:proofErr w:type="spellStart"/>
      <w:r w:rsidR="00C06663" w:rsidRPr="00CD4C85">
        <w:rPr>
          <w:rFonts w:ascii="Arial" w:hAnsi="Arial" w:cs="Arial"/>
          <w:sz w:val="20"/>
          <w:szCs w:val="20"/>
        </w:rPr>
        <w:t>stupa</w:t>
      </w:r>
      <w:proofErr w:type="spellEnd"/>
      <w:r w:rsidR="00C06663" w:rsidRPr="00CD4C85">
        <w:rPr>
          <w:rFonts w:ascii="Arial" w:hAnsi="Arial" w:cs="Arial"/>
          <w:sz w:val="20"/>
          <w:szCs w:val="20"/>
        </w:rPr>
        <w:t xml:space="preserve"> is a domelike sacred structure containing a relic. Devotees walk around the dome in a clockwise direction, carrying flowers and incense as a sign of reverence. The relic of the Buddha's tooth in Kandy, Sri Lanka, is the focus of an especially popular festival on the Buddha's birthday. The Buddha's birthday is celebrated in every Buddhist country. In Theravada this celebration is known as </w:t>
      </w:r>
      <w:proofErr w:type="spellStart"/>
      <w:r w:rsidR="00C06663" w:rsidRPr="00CD4C85">
        <w:rPr>
          <w:rFonts w:ascii="Arial" w:hAnsi="Arial" w:cs="Arial"/>
          <w:sz w:val="20"/>
          <w:szCs w:val="20"/>
        </w:rPr>
        <w:t>Vaisakha</w:t>
      </w:r>
      <w:proofErr w:type="spellEnd"/>
      <w:r w:rsidR="00C06663" w:rsidRPr="00CD4C85">
        <w:rPr>
          <w:rFonts w:ascii="Arial" w:hAnsi="Arial" w:cs="Arial"/>
          <w:sz w:val="20"/>
          <w:szCs w:val="20"/>
        </w:rPr>
        <w:t xml:space="preserve">, after the month in which the Buddha was born. Popular in Theravada lands is a ceremony known as </w:t>
      </w:r>
      <w:proofErr w:type="spellStart"/>
      <w:r w:rsidR="00C06663" w:rsidRPr="00CD4C85">
        <w:rPr>
          <w:rFonts w:ascii="Arial" w:hAnsi="Arial" w:cs="Arial"/>
          <w:i/>
          <w:iCs/>
          <w:sz w:val="20"/>
          <w:szCs w:val="20"/>
        </w:rPr>
        <w:t>pirit</w:t>
      </w:r>
      <w:proofErr w:type="spellEnd"/>
      <w:r w:rsidR="00C06663" w:rsidRPr="00CD4C85">
        <w:rPr>
          <w:rFonts w:ascii="Arial" w:hAnsi="Arial" w:cs="Arial"/>
          <w:i/>
          <w:iCs/>
          <w:sz w:val="20"/>
          <w:szCs w:val="20"/>
        </w:rPr>
        <w:t>,</w:t>
      </w:r>
      <w:r w:rsidR="00C06663" w:rsidRPr="00CD4C85">
        <w:rPr>
          <w:rFonts w:ascii="Arial" w:hAnsi="Arial" w:cs="Arial"/>
          <w:sz w:val="20"/>
          <w:szCs w:val="20"/>
        </w:rPr>
        <w:t xml:space="preserve"> or protection, in which readings from a collection of protective charms from </w:t>
      </w:r>
      <w:r w:rsidR="00C06663" w:rsidRPr="00CD4C85">
        <w:rPr>
          <w:rFonts w:ascii="Arial" w:hAnsi="Arial" w:cs="Arial"/>
          <w:sz w:val="20"/>
          <w:szCs w:val="20"/>
        </w:rPr>
        <w:lastRenderedPageBreak/>
        <w:t xml:space="preserve">the </w:t>
      </w:r>
      <w:proofErr w:type="spellStart"/>
      <w:r w:rsidR="00C06663" w:rsidRPr="00CD4C85">
        <w:rPr>
          <w:rFonts w:ascii="Arial" w:hAnsi="Arial" w:cs="Arial"/>
          <w:sz w:val="20"/>
          <w:szCs w:val="20"/>
        </w:rPr>
        <w:t>Pali</w:t>
      </w:r>
      <w:proofErr w:type="spellEnd"/>
      <w:r w:rsidR="00C06663" w:rsidRPr="00CD4C85">
        <w:rPr>
          <w:rFonts w:ascii="Arial" w:hAnsi="Arial" w:cs="Arial"/>
          <w:sz w:val="20"/>
          <w:szCs w:val="20"/>
        </w:rPr>
        <w:t xml:space="preserve"> canon are conducted to exorcise evil spirits, cure illness, bless new buildings, and achieve other benefits.</w:t>
      </w:r>
    </w:p>
    <w:p w:rsidR="00C06663" w:rsidRPr="00CD4C85" w:rsidRDefault="003A2F38" w:rsidP="00C06663">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C06663" w:rsidRPr="00CD4C85">
        <w:rPr>
          <w:rFonts w:ascii="Arial" w:hAnsi="Arial" w:cs="Arial"/>
          <w:sz w:val="20"/>
          <w:szCs w:val="20"/>
        </w:rPr>
        <w:t xml:space="preserve">In Mahayana countries ritual is more important than in Theravada. Images of the </w:t>
      </w:r>
      <w:proofErr w:type="spellStart"/>
      <w:proofErr w:type="gramStart"/>
      <w:r w:rsidR="00C06663" w:rsidRPr="00CD4C85">
        <w:rPr>
          <w:rFonts w:ascii="Arial" w:hAnsi="Arial" w:cs="Arial"/>
          <w:sz w:val="20"/>
          <w:szCs w:val="20"/>
        </w:rPr>
        <w:t>buddhas</w:t>
      </w:r>
      <w:proofErr w:type="spellEnd"/>
      <w:proofErr w:type="gramEnd"/>
      <w:r w:rsidR="00C06663" w:rsidRPr="00CD4C85">
        <w:rPr>
          <w:rFonts w:ascii="Arial" w:hAnsi="Arial" w:cs="Arial"/>
          <w:sz w:val="20"/>
          <w:szCs w:val="20"/>
        </w:rPr>
        <w:t xml:space="preserve"> and </w:t>
      </w:r>
      <w:r w:rsidR="00C06663" w:rsidRPr="00CD4C85">
        <w:rPr>
          <w:rFonts w:ascii="Arial" w:hAnsi="Arial" w:cs="Arial"/>
          <w:i/>
          <w:iCs/>
          <w:sz w:val="20"/>
          <w:szCs w:val="20"/>
        </w:rPr>
        <w:t>bodhisattvas</w:t>
      </w:r>
      <w:r w:rsidR="00C06663" w:rsidRPr="00CD4C85">
        <w:rPr>
          <w:rFonts w:ascii="Arial" w:hAnsi="Arial" w:cs="Arial"/>
          <w:sz w:val="20"/>
          <w:szCs w:val="20"/>
        </w:rPr>
        <w:t xml:space="preserve"> on temple altars and in the homes of devotees serve as a focus for worship. Prayer and chanting are common acts of devotion, as are offerings of fruit, flowers, and incense. One of the most popular festivals in China and Japan is the </w:t>
      </w:r>
      <w:proofErr w:type="spellStart"/>
      <w:r w:rsidR="00C06663" w:rsidRPr="00CD4C85">
        <w:rPr>
          <w:rFonts w:ascii="Arial" w:hAnsi="Arial" w:cs="Arial"/>
          <w:sz w:val="20"/>
          <w:szCs w:val="20"/>
        </w:rPr>
        <w:t>Ullambana</w:t>
      </w:r>
      <w:proofErr w:type="spellEnd"/>
      <w:r w:rsidR="00C06663" w:rsidRPr="00CD4C85">
        <w:rPr>
          <w:rFonts w:ascii="Arial" w:hAnsi="Arial" w:cs="Arial"/>
          <w:sz w:val="20"/>
          <w:szCs w:val="20"/>
        </w:rPr>
        <w:t xml:space="preserve"> Festival, in which offerings are made to the spirits of the dead and to hungry ghosts. It is held that during this celebration the gates to the other world are open so that departed spirits can return to earth for a brief time.</w:t>
      </w:r>
      <w:r w:rsidR="00C06663" w:rsidRPr="00CD4C85">
        <w:rPr>
          <w:rFonts w:ascii="Arial" w:hAnsi="Arial" w:cs="Arial"/>
          <w:position w:val="6"/>
          <w:sz w:val="20"/>
          <w:szCs w:val="20"/>
        </w:rPr>
        <w:footnoteReference w:id="2"/>
      </w:r>
    </w:p>
    <w:p w:rsidR="00291639" w:rsidRPr="00CD4C85" w:rsidRDefault="00291639">
      <w:pPr>
        <w:rPr>
          <w:rFonts w:ascii="Arial" w:hAnsi="Arial" w:cs="Arial"/>
          <w:sz w:val="20"/>
          <w:szCs w:val="20"/>
        </w:rPr>
      </w:pPr>
    </w:p>
    <w:p w:rsidR="00C06663" w:rsidRPr="00CD4C85" w:rsidRDefault="00C06663">
      <w:pPr>
        <w:rPr>
          <w:rFonts w:ascii="Arial" w:hAnsi="Arial" w:cs="Arial"/>
          <w:sz w:val="20"/>
          <w:szCs w:val="20"/>
        </w:rPr>
      </w:pPr>
    </w:p>
    <w:p w:rsidR="00E535A8" w:rsidRPr="00CD4C85" w:rsidRDefault="003A2F38" w:rsidP="00E535A8">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E535A8" w:rsidRPr="00CD4C85">
        <w:rPr>
          <w:rFonts w:ascii="Arial" w:hAnsi="Arial" w:cs="Arial"/>
          <w:sz w:val="20"/>
          <w:szCs w:val="20"/>
        </w:rPr>
        <w:t xml:space="preserve">A brief interlude of Western rulers in Constantinople was succeeded in 1261 by the last Byzantine dynasty, that of the </w:t>
      </w:r>
      <w:proofErr w:type="spellStart"/>
      <w:r w:rsidR="00E535A8" w:rsidRPr="00CD4C85">
        <w:rPr>
          <w:rFonts w:ascii="Arial" w:hAnsi="Arial" w:cs="Arial"/>
          <w:sz w:val="20"/>
          <w:szCs w:val="20"/>
        </w:rPr>
        <w:t>Palaeologan</w:t>
      </w:r>
      <w:proofErr w:type="spellEnd"/>
      <w:r w:rsidR="00E535A8" w:rsidRPr="00CD4C85">
        <w:rPr>
          <w:rFonts w:ascii="Arial" w:hAnsi="Arial" w:cs="Arial"/>
          <w:sz w:val="20"/>
          <w:szCs w:val="20"/>
        </w:rPr>
        <w:t xml:space="preserve"> emperors (1258-1453). The final flowering of Byzantine art occurred during the </w:t>
      </w:r>
      <w:proofErr w:type="spellStart"/>
      <w:r w:rsidR="00E535A8" w:rsidRPr="00CD4C85">
        <w:rPr>
          <w:rFonts w:ascii="Arial" w:hAnsi="Arial" w:cs="Arial"/>
          <w:sz w:val="20"/>
          <w:szCs w:val="20"/>
        </w:rPr>
        <w:t>Palaeologue</w:t>
      </w:r>
      <w:proofErr w:type="spellEnd"/>
      <w:r w:rsidR="00E535A8" w:rsidRPr="00CD4C85">
        <w:rPr>
          <w:rFonts w:ascii="Arial" w:hAnsi="Arial" w:cs="Arial"/>
          <w:sz w:val="20"/>
          <w:szCs w:val="20"/>
        </w:rPr>
        <w:t xml:space="preserve"> period, and its vitality and creativeness remained undiminished.</w:t>
      </w:r>
    </w:p>
    <w:p w:rsidR="00E535A8" w:rsidRPr="00CD4C85" w:rsidRDefault="00E535A8" w:rsidP="00E535A8">
      <w:pPr>
        <w:autoSpaceDE w:val="0"/>
        <w:autoSpaceDN w:val="0"/>
        <w:adjustRightInd w:val="0"/>
        <w:spacing w:after="0" w:line="240" w:lineRule="auto"/>
        <w:rPr>
          <w:rFonts w:ascii="Arial" w:hAnsi="Arial" w:cs="Arial"/>
          <w:sz w:val="20"/>
          <w:szCs w:val="20"/>
        </w:rPr>
      </w:pPr>
    </w:p>
    <w:p w:rsidR="00E535A8" w:rsidRPr="00CD4C85" w:rsidRDefault="003A2F38" w:rsidP="00E535A8">
      <w:pPr>
        <w:autoSpaceDE w:val="0"/>
        <w:autoSpaceDN w:val="0"/>
        <w:adjustRightInd w:val="0"/>
        <w:spacing w:after="80" w:line="240" w:lineRule="auto"/>
        <w:rPr>
          <w:rFonts w:ascii="Arial" w:hAnsi="Arial" w:cs="Arial"/>
          <w:sz w:val="20"/>
          <w:szCs w:val="20"/>
        </w:rPr>
      </w:pPr>
      <w:r>
        <w:rPr>
          <w:rFonts w:ascii="Arial" w:hAnsi="Arial" w:cs="Arial"/>
          <w:i/>
          <w:iCs/>
          <w:sz w:val="20"/>
          <w:szCs w:val="20"/>
        </w:rPr>
        <w:tab/>
      </w:r>
      <w:r w:rsidR="00E535A8" w:rsidRPr="00CD4C85">
        <w:rPr>
          <w:rFonts w:ascii="Arial" w:hAnsi="Arial" w:cs="Arial"/>
          <w:i/>
          <w:iCs/>
          <w:sz w:val="20"/>
          <w:szCs w:val="20"/>
        </w:rPr>
        <w:t xml:space="preserve">Architecture </w:t>
      </w:r>
    </w:p>
    <w:p w:rsidR="00E535A8" w:rsidRPr="00CD4C85" w:rsidRDefault="003A2F38" w:rsidP="00E535A8">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E535A8" w:rsidRPr="00CD4C85">
        <w:rPr>
          <w:rFonts w:ascii="Arial" w:hAnsi="Arial" w:cs="Arial"/>
          <w:sz w:val="20"/>
          <w:szCs w:val="20"/>
        </w:rPr>
        <w:t xml:space="preserve">The new architectural features had already been foreshadowed under the </w:t>
      </w:r>
      <w:proofErr w:type="spellStart"/>
      <w:r w:rsidR="00E535A8" w:rsidRPr="00CD4C85">
        <w:rPr>
          <w:rFonts w:ascii="Arial" w:hAnsi="Arial" w:cs="Arial"/>
          <w:sz w:val="20"/>
          <w:szCs w:val="20"/>
        </w:rPr>
        <w:t>Comneni</w:t>
      </w:r>
      <w:proofErr w:type="spellEnd"/>
      <w:r w:rsidR="00E535A8" w:rsidRPr="00CD4C85">
        <w:rPr>
          <w:rFonts w:ascii="Arial" w:hAnsi="Arial" w:cs="Arial"/>
          <w:sz w:val="20"/>
          <w:szCs w:val="20"/>
        </w:rPr>
        <w:t>. In general, the vertical lines of the churches were emphasized, and the five-domed church became the norm. The drums, or circular rings on which the domes rest, often assumed octagonal form and grew taller. The domes themselves were sometimes reduced to small cupolas. Special attention was also given to exterior embellishment.</w:t>
      </w:r>
    </w:p>
    <w:p w:rsidR="00E535A8" w:rsidRPr="00CD4C85" w:rsidRDefault="00E535A8" w:rsidP="00E535A8">
      <w:pPr>
        <w:autoSpaceDE w:val="0"/>
        <w:autoSpaceDN w:val="0"/>
        <w:adjustRightInd w:val="0"/>
        <w:spacing w:after="0" w:line="240" w:lineRule="auto"/>
        <w:rPr>
          <w:rFonts w:ascii="Arial" w:hAnsi="Arial" w:cs="Arial"/>
          <w:sz w:val="20"/>
          <w:szCs w:val="20"/>
        </w:rPr>
      </w:pPr>
    </w:p>
    <w:p w:rsidR="00E535A8" w:rsidRPr="00CD4C85" w:rsidRDefault="003A2F38" w:rsidP="00E535A8">
      <w:pPr>
        <w:autoSpaceDE w:val="0"/>
        <w:autoSpaceDN w:val="0"/>
        <w:adjustRightInd w:val="0"/>
        <w:spacing w:after="80" w:line="240" w:lineRule="auto"/>
        <w:rPr>
          <w:rFonts w:ascii="Arial" w:hAnsi="Arial" w:cs="Arial"/>
          <w:sz w:val="20"/>
          <w:szCs w:val="20"/>
        </w:rPr>
      </w:pPr>
      <w:r>
        <w:rPr>
          <w:rFonts w:ascii="Arial" w:hAnsi="Arial" w:cs="Arial"/>
          <w:i/>
          <w:iCs/>
          <w:sz w:val="20"/>
          <w:szCs w:val="20"/>
        </w:rPr>
        <w:tab/>
      </w:r>
      <w:r w:rsidR="00E535A8" w:rsidRPr="00CD4C85">
        <w:rPr>
          <w:rFonts w:ascii="Arial" w:hAnsi="Arial" w:cs="Arial"/>
          <w:i/>
          <w:iCs/>
          <w:sz w:val="20"/>
          <w:szCs w:val="20"/>
        </w:rPr>
        <w:t xml:space="preserve">Painting and Mosaic </w:t>
      </w:r>
    </w:p>
    <w:p w:rsidR="00E535A8" w:rsidRPr="00CD4C85" w:rsidRDefault="00E535A8" w:rsidP="00E535A8">
      <w:pPr>
        <w:autoSpaceDE w:val="0"/>
        <w:autoSpaceDN w:val="0"/>
        <w:adjustRightInd w:val="0"/>
        <w:spacing w:after="0" w:line="240" w:lineRule="auto"/>
        <w:ind w:left="360"/>
        <w:rPr>
          <w:rFonts w:ascii="Arial" w:hAnsi="Arial" w:cs="Arial"/>
          <w:sz w:val="20"/>
          <w:szCs w:val="20"/>
        </w:rPr>
      </w:pPr>
    </w:p>
    <w:p w:rsidR="00E535A8" w:rsidRPr="00CD4C85" w:rsidRDefault="003A2F38" w:rsidP="00E535A8">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E535A8" w:rsidRPr="00CD4C85">
        <w:rPr>
          <w:rFonts w:ascii="Arial" w:hAnsi="Arial" w:cs="Arial"/>
          <w:sz w:val="20"/>
          <w:szCs w:val="20"/>
        </w:rPr>
        <w:t xml:space="preserve">More profound were the changes in the pictorial arts. With few exceptions, notably the splendid mosaics of the Church of the </w:t>
      </w:r>
      <w:proofErr w:type="spellStart"/>
      <w:r w:rsidR="00E535A8" w:rsidRPr="00CD4C85">
        <w:rPr>
          <w:rFonts w:ascii="Arial" w:hAnsi="Arial" w:cs="Arial"/>
          <w:sz w:val="20"/>
          <w:szCs w:val="20"/>
        </w:rPr>
        <w:t>Chora</w:t>
      </w:r>
      <w:proofErr w:type="spellEnd"/>
      <w:r w:rsidR="00E535A8" w:rsidRPr="00CD4C85">
        <w:rPr>
          <w:rFonts w:ascii="Arial" w:hAnsi="Arial" w:cs="Arial"/>
          <w:sz w:val="20"/>
          <w:szCs w:val="20"/>
        </w:rPr>
        <w:t xml:space="preserve"> (1310-20) in Constantinople, fresco painting everywhere replaced the more costly medium of mosaic decoration. The rules governing the hierarchical program of the mid-Byzantine churches were also largely abandoned. Narrative scenes sometimes occupied the vaults, and the figures tended to diminish in size, resulting in a new emphasis on the landscapes and architectural backgrounds. In the mosaics of the Church of the </w:t>
      </w:r>
      <w:proofErr w:type="spellStart"/>
      <w:r w:rsidR="00E535A8" w:rsidRPr="00CD4C85">
        <w:rPr>
          <w:rFonts w:ascii="Arial" w:hAnsi="Arial" w:cs="Arial"/>
          <w:sz w:val="20"/>
          <w:szCs w:val="20"/>
        </w:rPr>
        <w:t>Chora</w:t>
      </w:r>
      <w:proofErr w:type="spellEnd"/>
      <w:r w:rsidR="00E535A8" w:rsidRPr="00CD4C85">
        <w:rPr>
          <w:rFonts w:ascii="Arial" w:hAnsi="Arial" w:cs="Arial"/>
          <w:sz w:val="20"/>
          <w:szCs w:val="20"/>
        </w:rPr>
        <w:t xml:space="preserve"> fantastic architectural forms reminiscent of modern cubism were carefully coordinated with the figures. In a contemporary fresco of the nativity in the Greek Church of the </w:t>
      </w:r>
      <w:proofErr w:type="spellStart"/>
      <w:r w:rsidR="00E535A8" w:rsidRPr="00CD4C85">
        <w:rPr>
          <w:rFonts w:ascii="Arial" w:hAnsi="Arial" w:cs="Arial"/>
          <w:sz w:val="20"/>
          <w:szCs w:val="20"/>
        </w:rPr>
        <w:t>Peribleptos</w:t>
      </w:r>
      <w:proofErr w:type="spellEnd"/>
      <w:r w:rsidR="00E535A8" w:rsidRPr="00CD4C85">
        <w:rPr>
          <w:rFonts w:ascii="Arial" w:hAnsi="Arial" w:cs="Arial"/>
          <w:sz w:val="20"/>
          <w:szCs w:val="20"/>
        </w:rPr>
        <w:t xml:space="preserve"> at </w:t>
      </w:r>
      <w:proofErr w:type="spellStart"/>
      <w:r w:rsidR="00E535A8" w:rsidRPr="00CD4C85">
        <w:rPr>
          <w:rFonts w:ascii="Arial" w:hAnsi="Arial" w:cs="Arial"/>
          <w:sz w:val="20"/>
          <w:szCs w:val="20"/>
        </w:rPr>
        <w:t>Mistra</w:t>
      </w:r>
      <w:proofErr w:type="spellEnd"/>
      <w:r w:rsidR="00E535A8" w:rsidRPr="00CD4C85">
        <w:rPr>
          <w:rFonts w:ascii="Arial" w:hAnsi="Arial" w:cs="Arial"/>
          <w:sz w:val="20"/>
          <w:szCs w:val="20"/>
        </w:rPr>
        <w:t xml:space="preserve">, a vast rocky wasteland poignantly emphasizes the isolation of the small figures of the Virgin Mary and her child. In the background of the </w:t>
      </w:r>
      <w:r w:rsidR="00E535A8" w:rsidRPr="00CD4C85">
        <w:rPr>
          <w:rFonts w:ascii="Arial" w:hAnsi="Arial" w:cs="Arial"/>
          <w:i/>
          <w:iCs/>
          <w:sz w:val="20"/>
          <w:szCs w:val="20"/>
        </w:rPr>
        <w:t>Raising of Lazarus</w:t>
      </w:r>
      <w:r w:rsidR="00E535A8" w:rsidRPr="00CD4C85">
        <w:rPr>
          <w:rFonts w:ascii="Arial" w:hAnsi="Arial" w:cs="Arial"/>
          <w:sz w:val="20"/>
          <w:szCs w:val="20"/>
        </w:rPr>
        <w:t xml:space="preserve"> in the Church of the </w:t>
      </w:r>
      <w:proofErr w:type="spellStart"/>
      <w:r w:rsidR="00E535A8" w:rsidRPr="00CD4C85">
        <w:rPr>
          <w:rFonts w:ascii="Arial" w:hAnsi="Arial" w:cs="Arial"/>
          <w:sz w:val="20"/>
          <w:szCs w:val="20"/>
        </w:rPr>
        <w:t>Pantanassa</w:t>
      </w:r>
      <w:proofErr w:type="spellEnd"/>
      <w:r w:rsidR="00E535A8" w:rsidRPr="00CD4C85">
        <w:rPr>
          <w:rFonts w:ascii="Arial" w:hAnsi="Arial" w:cs="Arial"/>
          <w:sz w:val="20"/>
          <w:szCs w:val="20"/>
        </w:rPr>
        <w:t xml:space="preserve"> at </w:t>
      </w:r>
      <w:proofErr w:type="spellStart"/>
      <w:r w:rsidR="00E535A8" w:rsidRPr="00CD4C85">
        <w:rPr>
          <w:rFonts w:ascii="Arial" w:hAnsi="Arial" w:cs="Arial"/>
          <w:sz w:val="20"/>
          <w:szCs w:val="20"/>
        </w:rPr>
        <w:t>Mistra</w:t>
      </w:r>
      <w:proofErr w:type="spellEnd"/>
      <w:r w:rsidR="00E535A8" w:rsidRPr="00CD4C85">
        <w:rPr>
          <w:rFonts w:ascii="Arial" w:hAnsi="Arial" w:cs="Arial"/>
          <w:sz w:val="20"/>
          <w:szCs w:val="20"/>
        </w:rPr>
        <w:t xml:space="preserve"> (1428), a wide V-shaped cleft between two tall peaks is eloquent of the chasm of death that separates the mummified corpse of Lazarus from the living Savior. In emphasizing the settings, however, the artists were careful to avoid any sense of actual space that might destroy the spiritual character of the scenes.</w:t>
      </w:r>
    </w:p>
    <w:p w:rsidR="00E535A8" w:rsidRPr="00CD4C85" w:rsidRDefault="003A2F38" w:rsidP="00E535A8">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E535A8" w:rsidRPr="00CD4C85">
        <w:rPr>
          <w:rFonts w:ascii="Arial" w:hAnsi="Arial" w:cs="Arial"/>
          <w:sz w:val="20"/>
          <w:szCs w:val="20"/>
        </w:rPr>
        <w:t xml:space="preserve">Although the basic compositions of the more traditional images were retained, they were reinterpreted with exceptional vitality. In a fresco in the mortuary chapel adjoining the Church of the </w:t>
      </w:r>
      <w:proofErr w:type="spellStart"/>
      <w:r w:rsidR="00E535A8" w:rsidRPr="00CD4C85">
        <w:rPr>
          <w:rFonts w:ascii="Arial" w:hAnsi="Arial" w:cs="Arial"/>
          <w:sz w:val="20"/>
          <w:szCs w:val="20"/>
        </w:rPr>
        <w:lastRenderedPageBreak/>
        <w:t>Chora</w:t>
      </w:r>
      <w:proofErr w:type="spellEnd"/>
      <w:r w:rsidR="00E535A8" w:rsidRPr="00CD4C85">
        <w:rPr>
          <w:rFonts w:ascii="Arial" w:hAnsi="Arial" w:cs="Arial"/>
          <w:sz w:val="20"/>
          <w:szCs w:val="20"/>
        </w:rPr>
        <w:t xml:space="preserve"> the time-honored theme of the </w:t>
      </w:r>
      <w:proofErr w:type="spellStart"/>
      <w:r w:rsidR="00E535A8" w:rsidRPr="00CD4C85">
        <w:rPr>
          <w:rFonts w:ascii="Arial" w:hAnsi="Arial" w:cs="Arial"/>
          <w:i/>
          <w:iCs/>
          <w:sz w:val="20"/>
          <w:szCs w:val="20"/>
        </w:rPr>
        <w:t>Anastasis</w:t>
      </w:r>
      <w:proofErr w:type="spellEnd"/>
      <w:r w:rsidR="00E535A8" w:rsidRPr="00CD4C85">
        <w:rPr>
          <w:rFonts w:ascii="Arial" w:hAnsi="Arial" w:cs="Arial"/>
          <w:i/>
          <w:iCs/>
          <w:sz w:val="20"/>
          <w:szCs w:val="20"/>
        </w:rPr>
        <w:t>,</w:t>
      </w:r>
      <w:r w:rsidR="00E535A8" w:rsidRPr="00CD4C85">
        <w:rPr>
          <w:rFonts w:ascii="Arial" w:hAnsi="Arial" w:cs="Arial"/>
          <w:sz w:val="20"/>
          <w:szCs w:val="20"/>
        </w:rPr>
        <w:t xml:space="preserve"> the descent of Christ into limbo, was infused with extraordinary energy: The resurrected Christ strides victoriously across the shattered gates of hell to liberate Adam and Eve from the infernal regions. The </w:t>
      </w:r>
      <w:proofErr w:type="spellStart"/>
      <w:r w:rsidR="00E535A8" w:rsidRPr="00CD4C85">
        <w:rPr>
          <w:rFonts w:ascii="Arial" w:hAnsi="Arial" w:cs="Arial"/>
          <w:i/>
          <w:iCs/>
          <w:sz w:val="20"/>
          <w:szCs w:val="20"/>
        </w:rPr>
        <w:t>Koimesis</w:t>
      </w:r>
      <w:proofErr w:type="spellEnd"/>
      <w:r w:rsidR="00E535A8" w:rsidRPr="00CD4C85">
        <w:rPr>
          <w:rFonts w:ascii="Arial" w:hAnsi="Arial" w:cs="Arial"/>
          <w:i/>
          <w:iCs/>
          <w:sz w:val="20"/>
          <w:szCs w:val="20"/>
        </w:rPr>
        <w:t>,</w:t>
      </w:r>
      <w:r w:rsidR="00E535A8" w:rsidRPr="00CD4C85">
        <w:rPr>
          <w:rFonts w:ascii="Arial" w:hAnsi="Arial" w:cs="Arial"/>
          <w:sz w:val="20"/>
          <w:szCs w:val="20"/>
        </w:rPr>
        <w:t xml:space="preserve"> the death and assumption of the Virgin Mary, was traditionally depicted in terms of a simple but effective arrangement: The horizontal corpse of the Virgin on her deathbed is counterbalanced by the central upright figure of Christ holding aloft the small image of her soul. In the Serbian church at </w:t>
      </w:r>
      <w:proofErr w:type="spellStart"/>
      <w:r w:rsidR="00E535A8" w:rsidRPr="00CD4C85">
        <w:rPr>
          <w:rFonts w:ascii="Arial" w:hAnsi="Arial" w:cs="Arial"/>
          <w:sz w:val="20"/>
          <w:szCs w:val="20"/>
        </w:rPr>
        <w:t>Sopoçani</w:t>
      </w:r>
      <w:proofErr w:type="spellEnd"/>
      <w:r w:rsidR="00E535A8" w:rsidRPr="00CD4C85">
        <w:rPr>
          <w:rFonts w:ascii="Arial" w:hAnsi="Arial" w:cs="Arial"/>
          <w:sz w:val="20"/>
          <w:szCs w:val="20"/>
        </w:rPr>
        <w:t xml:space="preserve"> (circa 1265) this basic composition of the Virgin and Christ is greatly amplified to include a whole cohort of angels who are arranged in a semicircle around the figure of Christ.</w:t>
      </w:r>
    </w:p>
    <w:p w:rsidR="00E535A8" w:rsidRPr="00CD4C85" w:rsidRDefault="003A2F38" w:rsidP="00E535A8">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E535A8" w:rsidRPr="00CD4C85">
        <w:rPr>
          <w:rFonts w:ascii="Arial" w:hAnsi="Arial" w:cs="Arial"/>
          <w:sz w:val="20"/>
          <w:szCs w:val="20"/>
        </w:rPr>
        <w:t>These are but a few highlights of a vigorous and creative art that continued in the Balkans right into the middle of the 15th century. By that time, however, the days of Constantinople's glory were long past. Harassed by the Turks, the impoverished empire was reduced to little more than the city itself. In 1453 the end came with the taking of Constantinople by Muhammad II.</w:t>
      </w:r>
      <w:r w:rsidR="00E535A8" w:rsidRPr="00CD4C85">
        <w:rPr>
          <w:rFonts w:ascii="Arial" w:hAnsi="Arial" w:cs="Arial"/>
          <w:position w:val="6"/>
          <w:sz w:val="20"/>
          <w:szCs w:val="20"/>
        </w:rPr>
        <w:footnoteReference w:id="3"/>
      </w:r>
    </w:p>
    <w:p w:rsidR="00C06663" w:rsidRPr="00CD4C85" w:rsidRDefault="00C06663">
      <w:pPr>
        <w:rPr>
          <w:rFonts w:ascii="Arial" w:hAnsi="Arial" w:cs="Arial"/>
          <w:sz w:val="20"/>
          <w:szCs w:val="20"/>
        </w:rPr>
      </w:pPr>
    </w:p>
    <w:p w:rsidR="00E535A8" w:rsidRPr="00CD4C85" w:rsidRDefault="00E535A8">
      <w:pPr>
        <w:rPr>
          <w:rFonts w:ascii="Arial" w:hAnsi="Arial" w:cs="Arial"/>
          <w:sz w:val="20"/>
          <w:szCs w:val="20"/>
        </w:rPr>
      </w:pPr>
    </w:p>
    <w:p w:rsidR="00E535A8" w:rsidRPr="00CD4C85" w:rsidRDefault="00E535A8">
      <w:pPr>
        <w:rPr>
          <w:rFonts w:ascii="Arial" w:hAnsi="Arial" w:cs="Arial"/>
          <w:sz w:val="20"/>
          <w:szCs w:val="20"/>
        </w:rPr>
      </w:pPr>
    </w:p>
    <w:p w:rsidR="009127D7" w:rsidRPr="00CD4C85" w:rsidRDefault="003A2F38" w:rsidP="009127D7">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9127D7" w:rsidRPr="00CD4C85">
        <w:rPr>
          <w:rFonts w:ascii="Arial" w:hAnsi="Arial" w:cs="Arial"/>
          <w:sz w:val="20"/>
          <w:szCs w:val="20"/>
        </w:rPr>
        <w:t xml:space="preserve">In 1951 Japanese director Akira Kurosawa won the grand prize at the Venice International Film Festival with his </w:t>
      </w:r>
      <w:proofErr w:type="spellStart"/>
      <w:r w:rsidR="009127D7" w:rsidRPr="00CD4C85">
        <w:rPr>
          <w:rFonts w:ascii="Arial" w:hAnsi="Arial" w:cs="Arial"/>
          <w:i/>
          <w:iCs/>
          <w:sz w:val="20"/>
          <w:szCs w:val="20"/>
        </w:rPr>
        <w:t>Rashomon</w:t>
      </w:r>
      <w:proofErr w:type="spellEnd"/>
      <w:r w:rsidR="009127D7" w:rsidRPr="00CD4C85">
        <w:rPr>
          <w:rFonts w:ascii="Arial" w:hAnsi="Arial" w:cs="Arial"/>
          <w:sz w:val="20"/>
          <w:szCs w:val="20"/>
        </w:rPr>
        <w:t xml:space="preserve">, introducing the strong national cinema of Japan to Western audiences. Kurosawa's films </w:t>
      </w:r>
      <w:r w:rsidR="009127D7" w:rsidRPr="00CD4C85">
        <w:rPr>
          <w:rFonts w:ascii="Arial" w:hAnsi="Arial" w:cs="Arial"/>
          <w:i/>
          <w:iCs/>
          <w:sz w:val="20"/>
          <w:szCs w:val="20"/>
        </w:rPr>
        <w:t>The Seven Samurai</w:t>
      </w:r>
      <w:r w:rsidR="009127D7" w:rsidRPr="00CD4C85">
        <w:rPr>
          <w:rFonts w:ascii="Arial" w:hAnsi="Arial" w:cs="Arial"/>
          <w:sz w:val="20"/>
          <w:szCs w:val="20"/>
        </w:rPr>
        <w:t xml:space="preserve"> (1954; </w:t>
      </w:r>
      <w:r w:rsidR="009127D7" w:rsidRPr="00CD4C85">
        <w:rPr>
          <w:rFonts w:ascii="Arial" w:hAnsi="Arial" w:cs="Arial"/>
          <w:i/>
          <w:iCs/>
          <w:sz w:val="20"/>
          <w:szCs w:val="20"/>
        </w:rPr>
        <w:t>see</w:t>
      </w:r>
      <w:r w:rsidR="009127D7" w:rsidRPr="00CD4C85">
        <w:rPr>
          <w:rFonts w:ascii="Arial" w:hAnsi="Arial" w:cs="Arial"/>
          <w:sz w:val="20"/>
          <w:szCs w:val="20"/>
        </w:rPr>
        <w:t xml:space="preserve"> Samurai) and </w:t>
      </w:r>
      <w:r w:rsidR="009127D7" w:rsidRPr="00CD4C85">
        <w:rPr>
          <w:rFonts w:ascii="Arial" w:hAnsi="Arial" w:cs="Arial"/>
          <w:i/>
          <w:iCs/>
          <w:sz w:val="20"/>
          <w:szCs w:val="20"/>
        </w:rPr>
        <w:t>Throne of Blood</w:t>
      </w:r>
      <w:r w:rsidR="009127D7" w:rsidRPr="00CD4C85">
        <w:rPr>
          <w:rFonts w:ascii="Arial" w:hAnsi="Arial" w:cs="Arial"/>
          <w:sz w:val="20"/>
          <w:szCs w:val="20"/>
        </w:rPr>
        <w:t xml:space="preserve"> (1957), known as “eastern westerns,” served as models for several American films, notably </w:t>
      </w:r>
      <w:r w:rsidR="009127D7" w:rsidRPr="00CD4C85">
        <w:rPr>
          <w:rFonts w:ascii="Arial" w:hAnsi="Arial" w:cs="Arial"/>
          <w:i/>
          <w:iCs/>
          <w:sz w:val="20"/>
          <w:szCs w:val="20"/>
        </w:rPr>
        <w:t>The Magnificent Seven</w:t>
      </w:r>
      <w:r w:rsidR="009127D7" w:rsidRPr="00CD4C85">
        <w:rPr>
          <w:rFonts w:ascii="Arial" w:hAnsi="Arial" w:cs="Arial"/>
          <w:sz w:val="20"/>
          <w:szCs w:val="20"/>
        </w:rPr>
        <w:t xml:space="preserve"> (1960), which was patterned on </w:t>
      </w:r>
      <w:r w:rsidR="009127D7" w:rsidRPr="00CD4C85">
        <w:rPr>
          <w:rFonts w:ascii="Arial" w:hAnsi="Arial" w:cs="Arial"/>
          <w:i/>
          <w:iCs/>
          <w:sz w:val="20"/>
          <w:szCs w:val="20"/>
        </w:rPr>
        <w:t>The Seven Samurai.</w:t>
      </w:r>
      <w:r w:rsidR="009127D7" w:rsidRPr="00CD4C85">
        <w:rPr>
          <w:rFonts w:ascii="Arial" w:hAnsi="Arial" w:cs="Arial"/>
          <w:sz w:val="20"/>
          <w:szCs w:val="20"/>
        </w:rPr>
        <w:t xml:space="preserve"> The films of </w:t>
      </w:r>
      <w:proofErr w:type="spellStart"/>
      <w:r w:rsidR="009127D7" w:rsidRPr="00CD4C85">
        <w:rPr>
          <w:rFonts w:ascii="Arial" w:hAnsi="Arial" w:cs="Arial"/>
          <w:sz w:val="20"/>
          <w:szCs w:val="20"/>
        </w:rPr>
        <w:t>Mizoguchi</w:t>
      </w:r>
      <w:proofErr w:type="spellEnd"/>
      <w:r w:rsidR="009127D7" w:rsidRPr="00CD4C85">
        <w:rPr>
          <w:rFonts w:ascii="Arial" w:hAnsi="Arial" w:cs="Arial"/>
          <w:sz w:val="20"/>
          <w:szCs w:val="20"/>
        </w:rPr>
        <w:t xml:space="preserve"> Kenji and </w:t>
      </w:r>
      <w:proofErr w:type="spellStart"/>
      <w:r w:rsidR="009127D7" w:rsidRPr="00CD4C85">
        <w:rPr>
          <w:rFonts w:ascii="Arial" w:hAnsi="Arial" w:cs="Arial"/>
          <w:sz w:val="20"/>
          <w:szCs w:val="20"/>
        </w:rPr>
        <w:t>Kinugasa</w:t>
      </w:r>
      <w:proofErr w:type="spellEnd"/>
      <w:r w:rsidR="009127D7" w:rsidRPr="00CD4C85">
        <w:rPr>
          <w:rFonts w:ascii="Arial" w:hAnsi="Arial" w:cs="Arial"/>
          <w:sz w:val="20"/>
          <w:szCs w:val="20"/>
        </w:rPr>
        <w:t xml:space="preserve"> </w:t>
      </w:r>
      <w:proofErr w:type="spellStart"/>
      <w:r w:rsidR="009127D7" w:rsidRPr="00CD4C85">
        <w:rPr>
          <w:rFonts w:ascii="Arial" w:hAnsi="Arial" w:cs="Arial"/>
          <w:sz w:val="20"/>
          <w:szCs w:val="20"/>
        </w:rPr>
        <w:t>Teinosuke</w:t>
      </w:r>
      <w:proofErr w:type="spellEnd"/>
      <w:r w:rsidR="009127D7" w:rsidRPr="00CD4C85">
        <w:rPr>
          <w:rFonts w:ascii="Arial" w:hAnsi="Arial" w:cs="Arial"/>
          <w:sz w:val="20"/>
          <w:szCs w:val="20"/>
        </w:rPr>
        <w:t xml:space="preserve"> are handsomely produced, beautifully photographed dramas marked by a unique use of color. </w:t>
      </w:r>
      <w:proofErr w:type="spellStart"/>
      <w:r w:rsidR="009127D7" w:rsidRPr="00CD4C85">
        <w:rPr>
          <w:rFonts w:ascii="Arial" w:hAnsi="Arial" w:cs="Arial"/>
          <w:sz w:val="20"/>
          <w:szCs w:val="20"/>
        </w:rPr>
        <w:t>Mizoguchi's</w:t>
      </w:r>
      <w:proofErr w:type="spellEnd"/>
      <w:r w:rsidR="009127D7" w:rsidRPr="00CD4C85">
        <w:rPr>
          <w:rFonts w:ascii="Arial" w:hAnsi="Arial" w:cs="Arial"/>
          <w:sz w:val="20"/>
          <w:szCs w:val="20"/>
        </w:rPr>
        <w:t xml:space="preserve"> </w:t>
      </w:r>
      <w:proofErr w:type="spellStart"/>
      <w:r w:rsidR="009127D7" w:rsidRPr="00CD4C85">
        <w:rPr>
          <w:rFonts w:ascii="Arial" w:hAnsi="Arial" w:cs="Arial"/>
          <w:i/>
          <w:iCs/>
          <w:sz w:val="20"/>
          <w:szCs w:val="20"/>
        </w:rPr>
        <w:t>Ugetsu</w:t>
      </w:r>
      <w:proofErr w:type="spellEnd"/>
      <w:r w:rsidR="009127D7" w:rsidRPr="00CD4C85">
        <w:rPr>
          <w:rFonts w:ascii="Arial" w:hAnsi="Arial" w:cs="Arial"/>
          <w:sz w:val="20"/>
          <w:szCs w:val="20"/>
        </w:rPr>
        <w:t xml:space="preserve"> (1953) is a costume legend of 16th-century Japan, and </w:t>
      </w:r>
      <w:proofErr w:type="spellStart"/>
      <w:r w:rsidR="009127D7" w:rsidRPr="00CD4C85">
        <w:rPr>
          <w:rFonts w:ascii="Arial" w:hAnsi="Arial" w:cs="Arial"/>
          <w:sz w:val="20"/>
          <w:szCs w:val="20"/>
        </w:rPr>
        <w:t>Kinugasa's</w:t>
      </w:r>
      <w:proofErr w:type="spellEnd"/>
      <w:r w:rsidR="009127D7" w:rsidRPr="00CD4C85">
        <w:rPr>
          <w:rFonts w:ascii="Arial" w:hAnsi="Arial" w:cs="Arial"/>
          <w:sz w:val="20"/>
          <w:szCs w:val="20"/>
        </w:rPr>
        <w:t xml:space="preserve"> </w:t>
      </w:r>
      <w:r w:rsidR="009127D7" w:rsidRPr="00CD4C85">
        <w:rPr>
          <w:rFonts w:ascii="Arial" w:hAnsi="Arial" w:cs="Arial"/>
          <w:i/>
          <w:iCs/>
          <w:sz w:val="20"/>
          <w:szCs w:val="20"/>
        </w:rPr>
        <w:t>Gate of Hell</w:t>
      </w:r>
      <w:r w:rsidR="009127D7" w:rsidRPr="00CD4C85">
        <w:rPr>
          <w:rFonts w:ascii="Arial" w:hAnsi="Arial" w:cs="Arial"/>
          <w:sz w:val="20"/>
          <w:szCs w:val="20"/>
        </w:rPr>
        <w:t xml:space="preserve"> (1954) is a lavish 12th-century tale of family honor; both films are mature, philosophical works of great intellectual and visual power. These were not the first significant Japanese motion pictures, only the first to gain recognition outside Japan.</w:t>
      </w:r>
      <w:r w:rsidR="009127D7" w:rsidRPr="00CD4C85">
        <w:rPr>
          <w:rFonts w:ascii="Arial" w:hAnsi="Arial" w:cs="Arial"/>
          <w:position w:val="6"/>
          <w:sz w:val="20"/>
          <w:szCs w:val="20"/>
        </w:rPr>
        <w:footnoteReference w:id="4"/>
      </w:r>
    </w:p>
    <w:p w:rsidR="00E535A8" w:rsidRPr="00CD4C85" w:rsidRDefault="00E535A8">
      <w:pPr>
        <w:rPr>
          <w:rFonts w:ascii="Arial" w:hAnsi="Arial" w:cs="Arial"/>
          <w:sz w:val="20"/>
          <w:szCs w:val="20"/>
        </w:rPr>
      </w:pPr>
    </w:p>
    <w:p w:rsidR="009127D7" w:rsidRPr="00CD4C85" w:rsidRDefault="009127D7">
      <w:pPr>
        <w:rPr>
          <w:rFonts w:ascii="Arial" w:hAnsi="Arial" w:cs="Arial"/>
          <w:sz w:val="20"/>
          <w:szCs w:val="20"/>
        </w:rPr>
      </w:pPr>
    </w:p>
    <w:p w:rsidR="009127D7" w:rsidRPr="00CD4C85" w:rsidRDefault="009127D7">
      <w:pPr>
        <w:rPr>
          <w:rFonts w:ascii="Arial" w:hAnsi="Arial" w:cs="Arial"/>
          <w:sz w:val="20"/>
          <w:szCs w:val="20"/>
        </w:rPr>
      </w:pPr>
    </w:p>
    <w:p w:rsidR="009127D7" w:rsidRPr="00CD4C85" w:rsidRDefault="009127D7">
      <w:pPr>
        <w:rPr>
          <w:rFonts w:ascii="Arial" w:hAnsi="Arial" w:cs="Arial"/>
          <w:sz w:val="20"/>
          <w:szCs w:val="20"/>
        </w:rPr>
      </w:pPr>
    </w:p>
    <w:p w:rsidR="009B1697" w:rsidRPr="00CD4C85" w:rsidRDefault="009B1697" w:rsidP="009B1697">
      <w:pPr>
        <w:autoSpaceDE w:val="0"/>
        <w:autoSpaceDN w:val="0"/>
        <w:adjustRightInd w:val="0"/>
        <w:spacing w:after="0" w:line="240" w:lineRule="auto"/>
        <w:rPr>
          <w:rFonts w:ascii="Arial" w:hAnsi="Arial" w:cs="Arial"/>
          <w:sz w:val="20"/>
          <w:szCs w:val="20"/>
        </w:rPr>
      </w:pPr>
    </w:p>
    <w:p w:rsidR="009B1697" w:rsidRPr="00CD4C85" w:rsidRDefault="009B1697" w:rsidP="009B1697">
      <w:pPr>
        <w:autoSpaceDE w:val="0"/>
        <w:autoSpaceDN w:val="0"/>
        <w:adjustRightInd w:val="0"/>
        <w:spacing w:after="0" w:line="240" w:lineRule="auto"/>
        <w:ind w:left="360"/>
        <w:rPr>
          <w:rFonts w:ascii="Arial" w:hAnsi="Arial" w:cs="Arial"/>
          <w:sz w:val="20"/>
          <w:szCs w:val="20"/>
        </w:rPr>
      </w:pPr>
    </w:p>
    <w:p w:rsidR="009B1697" w:rsidRPr="00CD4C85" w:rsidRDefault="009B1697" w:rsidP="009B1697">
      <w:pPr>
        <w:autoSpaceDE w:val="0"/>
        <w:autoSpaceDN w:val="0"/>
        <w:adjustRightInd w:val="0"/>
        <w:spacing w:after="0" w:line="240" w:lineRule="auto"/>
        <w:ind w:left="360"/>
        <w:rPr>
          <w:rFonts w:ascii="Arial" w:hAnsi="Arial" w:cs="Arial"/>
          <w:sz w:val="20"/>
          <w:szCs w:val="20"/>
        </w:rPr>
      </w:pPr>
    </w:p>
    <w:p w:rsidR="009B1697" w:rsidRPr="00CD4C85" w:rsidRDefault="003A2F38" w:rsidP="009B1697">
      <w:pPr>
        <w:autoSpaceDE w:val="0"/>
        <w:autoSpaceDN w:val="0"/>
        <w:adjustRightInd w:val="0"/>
        <w:spacing w:after="140" w:line="280" w:lineRule="atLeast"/>
        <w:ind w:right="180"/>
        <w:rPr>
          <w:rFonts w:ascii="Arial" w:hAnsi="Arial" w:cs="Arial"/>
          <w:sz w:val="20"/>
          <w:szCs w:val="20"/>
        </w:rPr>
      </w:pPr>
      <w:r>
        <w:rPr>
          <w:rFonts w:ascii="Arial" w:hAnsi="Arial" w:cs="Arial"/>
          <w:b/>
          <w:bCs/>
          <w:sz w:val="20"/>
          <w:szCs w:val="20"/>
        </w:rPr>
        <w:tab/>
      </w:r>
      <w:r w:rsidR="009B1697" w:rsidRPr="00CD4C85">
        <w:rPr>
          <w:rFonts w:ascii="Arial" w:hAnsi="Arial" w:cs="Arial"/>
          <w:b/>
          <w:bCs/>
          <w:sz w:val="20"/>
          <w:szCs w:val="20"/>
        </w:rPr>
        <w:t xml:space="preserve">Rodin, (François) </w:t>
      </w:r>
      <w:proofErr w:type="spellStart"/>
      <w:r w:rsidR="009B1697" w:rsidRPr="00CD4C85">
        <w:rPr>
          <w:rFonts w:ascii="Arial" w:hAnsi="Arial" w:cs="Arial"/>
          <w:b/>
          <w:bCs/>
          <w:sz w:val="20"/>
          <w:szCs w:val="20"/>
        </w:rPr>
        <w:t>Auguste</w:t>
      </w:r>
      <w:proofErr w:type="spellEnd"/>
      <w:r w:rsidR="009B1697" w:rsidRPr="00CD4C85">
        <w:rPr>
          <w:rFonts w:ascii="Arial" w:hAnsi="Arial" w:cs="Arial"/>
          <w:b/>
          <w:bCs/>
          <w:sz w:val="20"/>
          <w:szCs w:val="20"/>
        </w:rPr>
        <w:t xml:space="preserve"> René</w:t>
      </w:r>
      <w:r w:rsidR="009B1697" w:rsidRPr="00CD4C85">
        <w:rPr>
          <w:rFonts w:ascii="Arial" w:hAnsi="Arial" w:cs="Arial"/>
          <w:sz w:val="20"/>
          <w:szCs w:val="20"/>
        </w:rPr>
        <w:t xml:space="preserve"> (1840-1917), French sculptor, who imbued his work with great psychological force, which was expressed largely through texture and modeling. He is regarded as the foremost sculptor of the 19th and early 20th centuries.</w:t>
      </w:r>
    </w:p>
    <w:p w:rsidR="009B1697" w:rsidRPr="00CD4C85" w:rsidRDefault="003A2F38" w:rsidP="009B1697">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9B1697" w:rsidRPr="00CD4C85">
        <w:rPr>
          <w:rFonts w:ascii="Arial" w:hAnsi="Arial" w:cs="Arial"/>
          <w:sz w:val="20"/>
          <w:szCs w:val="20"/>
        </w:rPr>
        <w:t xml:space="preserve">Rodin was born in Paris on November 12, 1840, the son of a police official. He studied art in a free school for artisans and on his own at the Louvre, because he was refused admittance to the </w:t>
      </w:r>
      <w:proofErr w:type="spellStart"/>
      <w:r w:rsidR="009B1697" w:rsidRPr="00CD4C85">
        <w:rPr>
          <w:rFonts w:ascii="Arial" w:hAnsi="Arial" w:cs="Arial"/>
          <w:sz w:val="20"/>
          <w:szCs w:val="20"/>
        </w:rPr>
        <w:t>École</w:t>
      </w:r>
      <w:proofErr w:type="spellEnd"/>
      <w:r w:rsidR="009B1697" w:rsidRPr="00CD4C85">
        <w:rPr>
          <w:rFonts w:ascii="Arial" w:hAnsi="Arial" w:cs="Arial"/>
          <w:sz w:val="20"/>
          <w:szCs w:val="20"/>
        </w:rPr>
        <w:t xml:space="preserve"> des Beaux-Arts. For many years he worked for other sculptors, including Ernest Carrier-</w:t>
      </w:r>
      <w:proofErr w:type="spellStart"/>
      <w:r w:rsidR="009B1697" w:rsidRPr="00CD4C85">
        <w:rPr>
          <w:rFonts w:ascii="Arial" w:hAnsi="Arial" w:cs="Arial"/>
          <w:sz w:val="20"/>
          <w:szCs w:val="20"/>
        </w:rPr>
        <w:t>Belleuse</w:t>
      </w:r>
      <w:proofErr w:type="spellEnd"/>
      <w:r w:rsidR="009B1697" w:rsidRPr="00CD4C85">
        <w:rPr>
          <w:rFonts w:ascii="Arial" w:hAnsi="Arial" w:cs="Arial"/>
          <w:sz w:val="20"/>
          <w:szCs w:val="20"/>
        </w:rPr>
        <w:t>. Rodin collaborated in the early 1870s with a Belgian artist on architectural sculpture for the Bourse in Brussels. In 1875 he traveled to Italy, where he was profoundly influenced by the treatment of movement and muscular action in the works of the Renaissance sculptors Donatello and Michelangelo.</w:t>
      </w:r>
    </w:p>
    <w:p w:rsidR="009B1697" w:rsidRPr="00CD4C85" w:rsidRDefault="003A2F38" w:rsidP="009B1697">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9B1697" w:rsidRPr="00CD4C85">
        <w:rPr>
          <w:rFonts w:ascii="Arial" w:hAnsi="Arial" w:cs="Arial"/>
          <w:sz w:val="20"/>
          <w:szCs w:val="20"/>
        </w:rPr>
        <w:t xml:space="preserve">For Rodin, beauty in art consisted in the truthful representation of inner states, and to this end he often subtly distorted anatomy. His sculpture, in bronze and marble, falls generally into two styles. The more characteristic style reveals a deliberate roughness of form and a painstaking surface modeling; the other is marked by a polished surface and delicacy of form. Rodin produced several important sculptures between about 1858 and 1875, including notably the </w:t>
      </w:r>
      <w:r w:rsidR="009B1697" w:rsidRPr="00CD4C85">
        <w:rPr>
          <w:rFonts w:ascii="Arial" w:hAnsi="Arial" w:cs="Arial"/>
          <w:i/>
          <w:iCs/>
          <w:sz w:val="20"/>
          <w:szCs w:val="20"/>
        </w:rPr>
        <w:t>Man with the Broken Nose.</w:t>
      </w:r>
      <w:r w:rsidR="009B1697" w:rsidRPr="00CD4C85">
        <w:rPr>
          <w:rFonts w:ascii="Arial" w:hAnsi="Arial" w:cs="Arial"/>
          <w:sz w:val="20"/>
          <w:szCs w:val="20"/>
        </w:rPr>
        <w:t xml:space="preserve"> He initially gained recognition in 1877, however, when his male nude figure </w:t>
      </w:r>
      <w:r w:rsidR="009B1697" w:rsidRPr="00CD4C85">
        <w:rPr>
          <w:rFonts w:ascii="Arial" w:hAnsi="Arial" w:cs="Arial"/>
          <w:i/>
          <w:iCs/>
          <w:sz w:val="20"/>
          <w:szCs w:val="20"/>
        </w:rPr>
        <w:t>The Age of Bronze</w:t>
      </w:r>
      <w:r w:rsidR="009B1697" w:rsidRPr="00CD4C85">
        <w:rPr>
          <w:rFonts w:ascii="Arial" w:hAnsi="Arial" w:cs="Arial"/>
          <w:sz w:val="20"/>
          <w:szCs w:val="20"/>
        </w:rPr>
        <w:t xml:space="preserve"> was exhibited at the Salon. This work aroused controversy because of its extreme realism and provoked accusations that Rodin had made plaster casts from living models. The exhibition in 1880 of his nude statue, </w:t>
      </w:r>
      <w:r w:rsidR="009B1697" w:rsidRPr="00CD4C85">
        <w:rPr>
          <w:rFonts w:ascii="Arial" w:hAnsi="Arial" w:cs="Arial"/>
          <w:i/>
          <w:iCs/>
          <w:sz w:val="20"/>
          <w:szCs w:val="20"/>
        </w:rPr>
        <w:t>St. John the Baptist,</w:t>
      </w:r>
      <w:r w:rsidR="009B1697" w:rsidRPr="00CD4C85">
        <w:rPr>
          <w:rFonts w:ascii="Arial" w:hAnsi="Arial" w:cs="Arial"/>
          <w:sz w:val="20"/>
          <w:szCs w:val="20"/>
        </w:rPr>
        <w:t xml:space="preserve"> which stressed the human qualities of his subject, increased Rodin's reputation. In the same year he began work on the </w:t>
      </w:r>
      <w:r w:rsidR="009B1697" w:rsidRPr="00CD4C85">
        <w:rPr>
          <w:rFonts w:ascii="Arial" w:hAnsi="Arial" w:cs="Arial"/>
          <w:i/>
          <w:iCs/>
          <w:sz w:val="20"/>
          <w:szCs w:val="20"/>
        </w:rPr>
        <w:t>Gates of Hell,</w:t>
      </w:r>
      <w:r w:rsidR="009B1697" w:rsidRPr="00CD4C85">
        <w:rPr>
          <w:rFonts w:ascii="Arial" w:hAnsi="Arial" w:cs="Arial"/>
          <w:sz w:val="20"/>
          <w:szCs w:val="20"/>
        </w:rPr>
        <w:t xml:space="preserve"> a sculptured bronze door for the </w:t>
      </w:r>
      <w:proofErr w:type="spellStart"/>
      <w:r w:rsidR="009B1697" w:rsidRPr="00CD4C85">
        <w:rPr>
          <w:rFonts w:ascii="Arial" w:hAnsi="Arial" w:cs="Arial"/>
          <w:sz w:val="20"/>
          <w:szCs w:val="20"/>
        </w:rPr>
        <w:t>Musée</w:t>
      </w:r>
      <w:proofErr w:type="spellEnd"/>
      <w:r w:rsidR="009B1697" w:rsidRPr="00CD4C85">
        <w:rPr>
          <w:rFonts w:ascii="Arial" w:hAnsi="Arial" w:cs="Arial"/>
          <w:sz w:val="20"/>
          <w:szCs w:val="20"/>
        </w:rPr>
        <w:t xml:space="preserve"> des Arts </w:t>
      </w:r>
      <w:proofErr w:type="spellStart"/>
      <w:r w:rsidR="009B1697" w:rsidRPr="00CD4C85">
        <w:rPr>
          <w:rFonts w:ascii="Arial" w:hAnsi="Arial" w:cs="Arial"/>
          <w:sz w:val="20"/>
          <w:szCs w:val="20"/>
        </w:rPr>
        <w:t>Décoratifs</w:t>
      </w:r>
      <w:proofErr w:type="spellEnd"/>
      <w:r w:rsidR="009B1697" w:rsidRPr="00CD4C85">
        <w:rPr>
          <w:rFonts w:ascii="Arial" w:hAnsi="Arial" w:cs="Arial"/>
          <w:sz w:val="20"/>
          <w:szCs w:val="20"/>
        </w:rPr>
        <w:t xml:space="preserve"> in Paris. The door represented chiefly scenes from </w:t>
      </w:r>
      <w:r w:rsidR="009B1697" w:rsidRPr="00CD4C85">
        <w:rPr>
          <w:rFonts w:ascii="Arial" w:hAnsi="Arial" w:cs="Arial"/>
          <w:i/>
          <w:iCs/>
          <w:sz w:val="20"/>
          <w:szCs w:val="20"/>
        </w:rPr>
        <w:t>The Inferno,</w:t>
      </w:r>
      <w:r w:rsidR="009B1697" w:rsidRPr="00CD4C85">
        <w:rPr>
          <w:rFonts w:ascii="Arial" w:hAnsi="Arial" w:cs="Arial"/>
          <w:sz w:val="20"/>
          <w:szCs w:val="20"/>
        </w:rPr>
        <w:t xml:space="preserve"> the first section of Dante's </w:t>
      </w:r>
      <w:r w:rsidR="009B1697" w:rsidRPr="00CD4C85">
        <w:rPr>
          <w:rFonts w:ascii="Arial" w:hAnsi="Arial" w:cs="Arial"/>
          <w:i/>
          <w:iCs/>
          <w:sz w:val="20"/>
          <w:szCs w:val="20"/>
        </w:rPr>
        <w:t>Divine Comedy.</w:t>
      </w:r>
      <w:r w:rsidR="009B1697" w:rsidRPr="00CD4C85">
        <w:rPr>
          <w:rFonts w:ascii="Arial" w:hAnsi="Arial" w:cs="Arial"/>
          <w:sz w:val="20"/>
          <w:szCs w:val="20"/>
        </w:rPr>
        <w:t xml:space="preserve"> Although Rodin did not complete the </w:t>
      </w:r>
      <w:r w:rsidR="009B1697" w:rsidRPr="00CD4C85">
        <w:rPr>
          <w:rFonts w:ascii="Arial" w:hAnsi="Arial" w:cs="Arial"/>
          <w:i/>
          <w:iCs/>
          <w:sz w:val="20"/>
          <w:szCs w:val="20"/>
        </w:rPr>
        <w:t>Gates of Hell,</w:t>
      </w:r>
      <w:r w:rsidR="009B1697" w:rsidRPr="00CD4C85">
        <w:rPr>
          <w:rFonts w:ascii="Arial" w:hAnsi="Arial" w:cs="Arial"/>
          <w:sz w:val="20"/>
          <w:szCs w:val="20"/>
        </w:rPr>
        <w:t xml:space="preserve"> he created models, or studies, of many of its component sculptures, all of which were acclaimed as independent achievements. Among these works are </w:t>
      </w:r>
      <w:r w:rsidR="009B1697" w:rsidRPr="00CD4C85">
        <w:rPr>
          <w:rFonts w:ascii="Arial" w:hAnsi="Arial" w:cs="Arial"/>
          <w:i/>
          <w:iCs/>
          <w:sz w:val="20"/>
          <w:szCs w:val="20"/>
        </w:rPr>
        <w:t xml:space="preserve">The Kiss, </w:t>
      </w:r>
      <w:proofErr w:type="spellStart"/>
      <w:r w:rsidR="009B1697" w:rsidRPr="00CD4C85">
        <w:rPr>
          <w:rFonts w:ascii="Arial" w:hAnsi="Arial" w:cs="Arial"/>
          <w:i/>
          <w:iCs/>
          <w:sz w:val="20"/>
          <w:szCs w:val="20"/>
        </w:rPr>
        <w:t>Ugolino</w:t>
      </w:r>
      <w:proofErr w:type="spellEnd"/>
      <w:r w:rsidR="009B1697" w:rsidRPr="00CD4C85">
        <w:rPr>
          <w:rFonts w:ascii="Arial" w:hAnsi="Arial" w:cs="Arial"/>
          <w:i/>
          <w:iCs/>
          <w:sz w:val="20"/>
          <w:szCs w:val="20"/>
        </w:rPr>
        <w:t xml:space="preserve">, </w:t>
      </w:r>
      <w:proofErr w:type="gramStart"/>
      <w:r w:rsidR="009B1697" w:rsidRPr="00CD4C85">
        <w:rPr>
          <w:rFonts w:ascii="Arial" w:hAnsi="Arial" w:cs="Arial"/>
          <w:i/>
          <w:iCs/>
          <w:sz w:val="20"/>
          <w:szCs w:val="20"/>
        </w:rPr>
        <w:t>The</w:t>
      </w:r>
      <w:proofErr w:type="gramEnd"/>
      <w:r w:rsidR="009B1697" w:rsidRPr="00CD4C85">
        <w:rPr>
          <w:rFonts w:ascii="Arial" w:hAnsi="Arial" w:cs="Arial"/>
          <w:i/>
          <w:iCs/>
          <w:sz w:val="20"/>
          <w:szCs w:val="20"/>
        </w:rPr>
        <w:t xml:space="preserve"> Thinker, Adam,</w:t>
      </w:r>
      <w:r w:rsidR="009B1697" w:rsidRPr="00CD4C85">
        <w:rPr>
          <w:rFonts w:ascii="Arial" w:hAnsi="Arial" w:cs="Arial"/>
          <w:sz w:val="20"/>
          <w:szCs w:val="20"/>
        </w:rPr>
        <w:t xml:space="preserve"> and </w:t>
      </w:r>
      <w:r w:rsidR="009B1697" w:rsidRPr="00CD4C85">
        <w:rPr>
          <w:rFonts w:ascii="Arial" w:hAnsi="Arial" w:cs="Arial"/>
          <w:i/>
          <w:iCs/>
          <w:sz w:val="20"/>
          <w:szCs w:val="20"/>
        </w:rPr>
        <w:t>Eve.</w:t>
      </w:r>
      <w:r w:rsidR="009B1697" w:rsidRPr="00CD4C85">
        <w:rPr>
          <w:rFonts w:ascii="Arial" w:hAnsi="Arial" w:cs="Arial"/>
          <w:sz w:val="20"/>
          <w:szCs w:val="20"/>
        </w:rPr>
        <w:t xml:space="preserve"> In 1886 he completed </w:t>
      </w:r>
      <w:r w:rsidR="009B1697" w:rsidRPr="00CD4C85">
        <w:rPr>
          <w:rFonts w:ascii="Arial" w:hAnsi="Arial" w:cs="Arial"/>
          <w:i/>
          <w:iCs/>
          <w:sz w:val="20"/>
          <w:szCs w:val="20"/>
        </w:rPr>
        <w:t>The Burghers of Calais;</w:t>
      </w:r>
      <w:r w:rsidR="009B1697" w:rsidRPr="00CD4C85">
        <w:rPr>
          <w:rFonts w:ascii="Arial" w:hAnsi="Arial" w:cs="Arial"/>
          <w:sz w:val="20"/>
          <w:szCs w:val="20"/>
        </w:rPr>
        <w:t xml:space="preserve"> this sculpture is a monumental bronze group in which the historical figures are represented with great psychological differentiation.</w:t>
      </w:r>
    </w:p>
    <w:p w:rsidR="009B1697" w:rsidRPr="00CD4C85" w:rsidRDefault="003A2F38" w:rsidP="009B1697">
      <w:pPr>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r>
      <w:r w:rsidR="009B1697" w:rsidRPr="00CD4C85">
        <w:rPr>
          <w:rFonts w:ascii="Arial" w:hAnsi="Arial" w:cs="Arial"/>
          <w:sz w:val="20"/>
          <w:szCs w:val="20"/>
        </w:rPr>
        <w:t xml:space="preserve">Rodin also produced numerous portraits, which reveal the emotional states of their subjects. They include numerous portraits, full figures of the French writers </w:t>
      </w:r>
      <w:proofErr w:type="spellStart"/>
      <w:r w:rsidR="009B1697" w:rsidRPr="00CD4C85">
        <w:rPr>
          <w:rFonts w:ascii="Arial" w:hAnsi="Arial" w:cs="Arial"/>
          <w:sz w:val="20"/>
          <w:szCs w:val="20"/>
        </w:rPr>
        <w:t>Honoré</w:t>
      </w:r>
      <w:proofErr w:type="spellEnd"/>
      <w:r w:rsidR="009B1697" w:rsidRPr="00CD4C85">
        <w:rPr>
          <w:rFonts w:ascii="Arial" w:hAnsi="Arial" w:cs="Arial"/>
          <w:sz w:val="20"/>
          <w:szCs w:val="20"/>
        </w:rPr>
        <w:t xml:space="preserve"> de Balzac and Victor Hugo and of the French painter Jules </w:t>
      </w:r>
      <w:proofErr w:type="spellStart"/>
      <w:r w:rsidR="009B1697" w:rsidRPr="00CD4C85">
        <w:rPr>
          <w:rFonts w:ascii="Arial" w:hAnsi="Arial" w:cs="Arial"/>
          <w:sz w:val="20"/>
          <w:szCs w:val="20"/>
        </w:rPr>
        <w:t>Bastien-Lepage</w:t>
      </w:r>
      <w:proofErr w:type="spellEnd"/>
      <w:r w:rsidR="009B1697" w:rsidRPr="00CD4C85">
        <w:rPr>
          <w:rFonts w:ascii="Arial" w:hAnsi="Arial" w:cs="Arial"/>
          <w:sz w:val="20"/>
          <w:szCs w:val="20"/>
        </w:rPr>
        <w:t xml:space="preserve">; and busts of the French artists Jules </w:t>
      </w:r>
      <w:proofErr w:type="spellStart"/>
      <w:r w:rsidR="009B1697" w:rsidRPr="00CD4C85">
        <w:rPr>
          <w:rFonts w:ascii="Arial" w:hAnsi="Arial" w:cs="Arial"/>
          <w:sz w:val="20"/>
          <w:szCs w:val="20"/>
        </w:rPr>
        <w:t>Dalou</w:t>
      </w:r>
      <w:proofErr w:type="spellEnd"/>
      <w:r w:rsidR="009B1697" w:rsidRPr="00CD4C85">
        <w:rPr>
          <w:rFonts w:ascii="Arial" w:hAnsi="Arial" w:cs="Arial"/>
          <w:sz w:val="20"/>
          <w:szCs w:val="20"/>
        </w:rPr>
        <w:t>, Carrier-</w:t>
      </w:r>
      <w:proofErr w:type="spellStart"/>
      <w:r w:rsidR="009B1697" w:rsidRPr="00CD4C85">
        <w:rPr>
          <w:rFonts w:ascii="Arial" w:hAnsi="Arial" w:cs="Arial"/>
          <w:sz w:val="20"/>
          <w:szCs w:val="20"/>
        </w:rPr>
        <w:t>Belleuse</w:t>
      </w:r>
      <w:proofErr w:type="spellEnd"/>
      <w:r w:rsidR="009B1697" w:rsidRPr="00CD4C85">
        <w:rPr>
          <w:rFonts w:ascii="Arial" w:hAnsi="Arial" w:cs="Arial"/>
          <w:sz w:val="20"/>
          <w:szCs w:val="20"/>
        </w:rPr>
        <w:t xml:space="preserve">, and Pierre </w:t>
      </w:r>
      <w:proofErr w:type="spellStart"/>
      <w:r w:rsidR="009B1697" w:rsidRPr="00CD4C85">
        <w:rPr>
          <w:rFonts w:ascii="Arial" w:hAnsi="Arial" w:cs="Arial"/>
          <w:sz w:val="20"/>
          <w:szCs w:val="20"/>
        </w:rPr>
        <w:t>Puvis</w:t>
      </w:r>
      <w:proofErr w:type="spellEnd"/>
      <w:r w:rsidR="009B1697" w:rsidRPr="00CD4C85">
        <w:rPr>
          <w:rFonts w:ascii="Arial" w:hAnsi="Arial" w:cs="Arial"/>
          <w:sz w:val="20"/>
          <w:szCs w:val="20"/>
        </w:rPr>
        <w:t xml:space="preserve"> de Chavannes. Rodin died at </w:t>
      </w:r>
      <w:proofErr w:type="spellStart"/>
      <w:r w:rsidR="009B1697" w:rsidRPr="00CD4C85">
        <w:rPr>
          <w:rFonts w:ascii="Arial" w:hAnsi="Arial" w:cs="Arial"/>
          <w:sz w:val="20"/>
          <w:szCs w:val="20"/>
        </w:rPr>
        <w:t>Meudon</w:t>
      </w:r>
      <w:proofErr w:type="spellEnd"/>
      <w:r w:rsidR="009B1697" w:rsidRPr="00CD4C85">
        <w:rPr>
          <w:rFonts w:ascii="Arial" w:hAnsi="Arial" w:cs="Arial"/>
          <w:sz w:val="20"/>
          <w:szCs w:val="20"/>
        </w:rPr>
        <w:t xml:space="preserve">, near Paris, on November 17, 1917. A number of his works can be found in the </w:t>
      </w:r>
      <w:proofErr w:type="spellStart"/>
      <w:r w:rsidR="009B1697" w:rsidRPr="00CD4C85">
        <w:rPr>
          <w:rFonts w:ascii="Arial" w:hAnsi="Arial" w:cs="Arial"/>
          <w:sz w:val="20"/>
          <w:szCs w:val="20"/>
        </w:rPr>
        <w:t>Musée</w:t>
      </w:r>
      <w:proofErr w:type="spellEnd"/>
      <w:r w:rsidR="009B1697" w:rsidRPr="00CD4C85">
        <w:rPr>
          <w:rFonts w:ascii="Arial" w:hAnsi="Arial" w:cs="Arial"/>
          <w:sz w:val="20"/>
          <w:szCs w:val="20"/>
        </w:rPr>
        <w:t xml:space="preserve"> Rodin, Paris, and a Rodin museum is located in Philadelphia.</w:t>
      </w:r>
      <w:r w:rsidR="009B1697" w:rsidRPr="00CD4C85">
        <w:rPr>
          <w:rFonts w:ascii="Arial" w:hAnsi="Arial" w:cs="Arial"/>
          <w:position w:val="6"/>
          <w:sz w:val="20"/>
          <w:szCs w:val="20"/>
        </w:rPr>
        <w:footnoteReference w:id="5"/>
      </w:r>
    </w:p>
    <w:p w:rsidR="009127D7" w:rsidRPr="00CD4C85" w:rsidRDefault="009127D7">
      <w:pPr>
        <w:rPr>
          <w:rFonts w:ascii="Arial" w:hAnsi="Arial" w:cs="Arial"/>
          <w:sz w:val="20"/>
          <w:szCs w:val="20"/>
        </w:rPr>
      </w:pPr>
    </w:p>
    <w:p w:rsidR="009B1697" w:rsidRPr="00CD4C85" w:rsidRDefault="009B1697">
      <w:pPr>
        <w:rPr>
          <w:rFonts w:ascii="Arial" w:hAnsi="Arial" w:cs="Arial"/>
          <w:sz w:val="20"/>
          <w:szCs w:val="20"/>
        </w:rPr>
      </w:pPr>
    </w:p>
    <w:p w:rsidR="009B1697" w:rsidRPr="00CD4C85" w:rsidRDefault="009B1697">
      <w:pPr>
        <w:rPr>
          <w:rFonts w:ascii="Arial" w:hAnsi="Arial" w:cs="Arial"/>
          <w:sz w:val="20"/>
          <w:szCs w:val="20"/>
        </w:rPr>
      </w:pPr>
    </w:p>
    <w:p w:rsidR="009B1697" w:rsidRPr="00CD4C85" w:rsidRDefault="009B1697">
      <w:pPr>
        <w:rPr>
          <w:rFonts w:ascii="Arial" w:hAnsi="Arial" w:cs="Arial"/>
          <w:sz w:val="20"/>
          <w:szCs w:val="20"/>
        </w:rPr>
      </w:pPr>
    </w:p>
    <w:p w:rsidR="009B1697" w:rsidRPr="00CD4C85" w:rsidRDefault="009B1697">
      <w:pPr>
        <w:rPr>
          <w:rFonts w:ascii="Arial" w:hAnsi="Arial" w:cs="Arial"/>
          <w:sz w:val="20"/>
          <w:szCs w:val="20"/>
        </w:rPr>
      </w:pPr>
    </w:p>
    <w:sectPr w:rsidR="009B1697" w:rsidRPr="00CD4C85" w:rsidSect="00CB0DB3">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B19" w:rsidRDefault="00851B19" w:rsidP="00291639">
      <w:pPr>
        <w:spacing w:after="0" w:line="240" w:lineRule="auto"/>
      </w:pPr>
      <w:r>
        <w:separator/>
      </w:r>
    </w:p>
  </w:endnote>
  <w:endnote w:type="continuationSeparator" w:id="0">
    <w:p w:rsidR="00851B19" w:rsidRDefault="00851B19" w:rsidP="002916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 ">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B19" w:rsidRDefault="00851B19" w:rsidP="00291639">
      <w:pPr>
        <w:spacing w:after="0" w:line="240" w:lineRule="auto"/>
      </w:pPr>
      <w:r>
        <w:separator/>
      </w:r>
    </w:p>
  </w:footnote>
  <w:footnote w:type="continuationSeparator" w:id="0">
    <w:p w:rsidR="00851B19" w:rsidRDefault="00851B19" w:rsidP="00291639">
      <w:pPr>
        <w:spacing w:after="0" w:line="240" w:lineRule="auto"/>
      </w:pPr>
      <w:r>
        <w:continuationSeparator/>
      </w:r>
    </w:p>
  </w:footnote>
  <w:footnote w:id="1">
    <w:p w:rsidR="00291639" w:rsidRDefault="00291639" w:rsidP="00291639">
      <w:pPr>
        <w:autoSpaceDE w:val="0"/>
        <w:autoSpaceDN w:val="0"/>
        <w:adjustRightInd w:val="0"/>
        <w:spacing w:before="150" w:after="0" w:line="240" w:lineRule="auto"/>
        <w:ind w:left="720" w:right="720"/>
        <w:rPr>
          <w:rFonts w:ascii=" " w:hAnsi=" " w:cs=" "/>
          <w:sz w:val="20"/>
          <w:szCs w:val="20"/>
        </w:rPr>
      </w:pPr>
      <w:r>
        <w:rPr>
          <w:rFonts w:ascii=" " w:hAnsi=" " w:cs=" "/>
          <w:position w:val="6"/>
          <w:sz w:val="20"/>
          <w:szCs w:val="20"/>
        </w:rPr>
        <w:footnoteRef/>
      </w:r>
      <w:r w:rsidR="003A2F38">
        <w:rPr>
          <w:rFonts w:ascii=" " w:hAnsi=" " w:cs=" "/>
          <w:sz w:val="20"/>
          <w:szCs w:val="20"/>
        </w:rPr>
        <w:t xml:space="preserve"> </w:t>
      </w:r>
      <w:proofErr w:type="gramStart"/>
      <w:r>
        <w:rPr>
          <w:rFonts w:ascii=" " w:hAnsi=" " w:cs=" "/>
          <w:sz w:val="20"/>
          <w:szCs w:val="20"/>
        </w:rPr>
        <w:t xml:space="preserve">"Bridge (structure)," </w:t>
      </w:r>
      <w:r>
        <w:rPr>
          <w:rFonts w:ascii=" " w:hAnsi=" " w:cs=" "/>
          <w:i/>
          <w:iCs/>
          <w:sz w:val="20"/>
          <w:szCs w:val="20"/>
        </w:rPr>
        <w:t>Microsoft® Encarta® 96 Encyclopedia.</w:t>
      </w:r>
      <w:proofErr w:type="gramEnd"/>
      <w:r>
        <w:rPr>
          <w:rFonts w:ascii=" " w:hAnsi=" " w:cs=" "/>
          <w:i/>
          <w:iCs/>
          <w:sz w:val="20"/>
          <w:szCs w:val="20"/>
        </w:rPr>
        <w:t xml:space="preserve"> </w:t>
      </w:r>
      <w:r>
        <w:rPr>
          <w:rFonts w:ascii=" " w:hAnsi=" " w:cs=" "/>
          <w:sz w:val="20"/>
          <w:szCs w:val="20"/>
        </w:rPr>
        <w:t xml:space="preserve">© 1993-1995 Microsoft Corporation. All rights reserved. © Funk &amp; </w:t>
      </w:r>
      <w:proofErr w:type="spellStart"/>
      <w:r>
        <w:rPr>
          <w:rFonts w:ascii=" " w:hAnsi=" " w:cs=" "/>
          <w:sz w:val="20"/>
          <w:szCs w:val="20"/>
        </w:rPr>
        <w:t>Wagnalls</w:t>
      </w:r>
      <w:proofErr w:type="spellEnd"/>
      <w:r>
        <w:rPr>
          <w:rFonts w:ascii=" " w:hAnsi=" " w:cs=" "/>
          <w:sz w:val="20"/>
          <w:szCs w:val="20"/>
        </w:rPr>
        <w:t xml:space="preserve"> Corporation. All rights reserved.</w:t>
      </w:r>
    </w:p>
    <w:p w:rsidR="00291639" w:rsidRDefault="00291639" w:rsidP="00291639">
      <w:pPr>
        <w:autoSpaceDE w:val="0"/>
        <w:autoSpaceDN w:val="0"/>
        <w:adjustRightInd w:val="0"/>
        <w:spacing w:before="150" w:after="0" w:line="240" w:lineRule="auto"/>
        <w:ind w:left="720" w:right="720"/>
        <w:rPr>
          <w:rFonts w:ascii=" " w:hAnsi=" " w:cs=" "/>
          <w:sz w:val="20"/>
          <w:szCs w:val="20"/>
        </w:rPr>
      </w:pPr>
    </w:p>
  </w:footnote>
  <w:footnote w:id="2">
    <w:p w:rsidR="00C06663" w:rsidRDefault="00C06663" w:rsidP="00C06663">
      <w:pPr>
        <w:autoSpaceDE w:val="0"/>
        <w:autoSpaceDN w:val="0"/>
        <w:adjustRightInd w:val="0"/>
        <w:spacing w:before="150" w:after="0" w:line="240" w:lineRule="auto"/>
        <w:ind w:left="720" w:right="720"/>
        <w:rPr>
          <w:rFonts w:ascii="Arial" w:hAnsi="Arial" w:cs="Arial"/>
          <w:sz w:val="20"/>
          <w:szCs w:val="20"/>
        </w:rPr>
      </w:pPr>
      <w:r>
        <w:rPr>
          <w:rFonts w:ascii="Arial" w:hAnsi="Arial" w:cs="Arial"/>
          <w:position w:val="6"/>
          <w:sz w:val="20"/>
          <w:szCs w:val="20"/>
        </w:rPr>
        <w:footnoteRef/>
      </w:r>
      <w:r w:rsidR="003A2F38">
        <w:rPr>
          <w:rFonts w:ascii="Arial" w:hAnsi="Arial" w:cs="Arial"/>
          <w:sz w:val="20"/>
          <w:szCs w:val="20"/>
        </w:rPr>
        <w:t xml:space="preserve"> </w:t>
      </w:r>
      <w:proofErr w:type="gramStart"/>
      <w:r>
        <w:rPr>
          <w:rFonts w:ascii="Arial" w:hAnsi="Arial" w:cs="Arial"/>
          <w:sz w:val="20"/>
          <w:szCs w:val="20"/>
        </w:rPr>
        <w:t xml:space="preserve">"Buddhism,"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All rights reserved.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p w:rsidR="00C06663" w:rsidRDefault="00C06663" w:rsidP="00C06663">
      <w:pPr>
        <w:autoSpaceDE w:val="0"/>
        <w:autoSpaceDN w:val="0"/>
        <w:adjustRightInd w:val="0"/>
        <w:spacing w:before="150" w:after="0" w:line="240" w:lineRule="auto"/>
        <w:ind w:left="720" w:right="720"/>
        <w:rPr>
          <w:rFonts w:ascii="Arial" w:hAnsi="Arial" w:cs="Arial"/>
          <w:sz w:val="20"/>
          <w:szCs w:val="20"/>
        </w:rPr>
      </w:pPr>
    </w:p>
  </w:footnote>
  <w:footnote w:id="3">
    <w:p w:rsidR="00E535A8" w:rsidRDefault="00E535A8" w:rsidP="00E535A8">
      <w:pPr>
        <w:autoSpaceDE w:val="0"/>
        <w:autoSpaceDN w:val="0"/>
        <w:adjustRightInd w:val="0"/>
        <w:spacing w:before="150" w:after="0" w:line="240" w:lineRule="auto"/>
        <w:ind w:left="720" w:right="720"/>
        <w:rPr>
          <w:rFonts w:ascii=" " w:hAnsi=" " w:cs=" "/>
          <w:sz w:val="20"/>
          <w:szCs w:val="20"/>
        </w:rPr>
      </w:pPr>
      <w:r>
        <w:rPr>
          <w:rFonts w:ascii=" " w:hAnsi=" " w:cs=" "/>
          <w:position w:val="6"/>
          <w:sz w:val="20"/>
          <w:szCs w:val="20"/>
        </w:rPr>
        <w:footnoteRef/>
      </w:r>
      <w:r w:rsidR="003A2F38">
        <w:rPr>
          <w:rFonts w:ascii=" " w:hAnsi=" " w:cs=" "/>
          <w:sz w:val="20"/>
          <w:szCs w:val="20"/>
        </w:rPr>
        <w:t xml:space="preserve"> </w:t>
      </w:r>
      <w:proofErr w:type="gramStart"/>
      <w:r>
        <w:rPr>
          <w:rFonts w:ascii=" " w:hAnsi=" " w:cs=" "/>
          <w:sz w:val="20"/>
          <w:szCs w:val="20"/>
        </w:rPr>
        <w:t xml:space="preserve">"Byzantine Art and Architecture," </w:t>
      </w:r>
      <w:r>
        <w:rPr>
          <w:rFonts w:ascii=" " w:hAnsi=" " w:cs=" "/>
          <w:i/>
          <w:iCs/>
          <w:sz w:val="20"/>
          <w:szCs w:val="20"/>
        </w:rPr>
        <w:t>Microsoft® Encarta® 96 Encyclopedia.</w:t>
      </w:r>
      <w:proofErr w:type="gramEnd"/>
      <w:r>
        <w:rPr>
          <w:rFonts w:ascii=" " w:hAnsi=" " w:cs=" "/>
          <w:i/>
          <w:iCs/>
          <w:sz w:val="20"/>
          <w:szCs w:val="20"/>
        </w:rPr>
        <w:t xml:space="preserve"> </w:t>
      </w:r>
      <w:r>
        <w:rPr>
          <w:rFonts w:ascii=" " w:hAnsi=" " w:cs=" "/>
          <w:sz w:val="20"/>
          <w:szCs w:val="20"/>
        </w:rPr>
        <w:t xml:space="preserve">© 1993-1995 Microsoft Corporation. All rights reserved. © Funk &amp; </w:t>
      </w:r>
      <w:proofErr w:type="spellStart"/>
      <w:r>
        <w:rPr>
          <w:rFonts w:ascii=" " w:hAnsi=" " w:cs=" "/>
          <w:sz w:val="20"/>
          <w:szCs w:val="20"/>
        </w:rPr>
        <w:t>Wagnalls</w:t>
      </w:r>
      <w:proofErr w:type="spellEnd"/>
      <w:r>
        <w:rPr>
          <w:rFonts w:ascii=" " w:hAnsi=" " w:cs=" "/>
          <w:sz w:val="20"/>
          <w:szCs w:val="20"/>
        </w:rPr>
        <w:t xml:space="preserve"> Corporation. All rights reserved.</w:t>
      </w:r>
    </w:p>
    <w:p w:rsidR="00E535A8" w:rsidRDefault="00E535A8" w:rsidP="00E535A8">
      <w:pPr>
        <w:autoSpaceDE w:val="0"/>
        <w:autoSpaceDN w:val="0"/>
        <w:adjustRightInd w:val="0"/>
        <w:spacing w:before="150" w:after="0" w:line="240" w:lineRule="auto"/>
        <w:ind w:left="720" w:right="720"/>
        <w:rPr>
          <w:rFonts w:ascii=" " w:hAnsi=" " w:cs=" "/>
          <w:sz w:val="20"/>
          <w:szCs w:val="20"/>
        </w:rPr>
      </w:pPr>
    </w:p>
  </w:footnote>
  <w:footnote w:id="4">
    <w:p w:rsidR="009127D7" w:rsidRDefault="009127D7" w:rsidP="009127D7">
      <w:pPr>
        <w:autoSpaceDE w:val="0"/>
        <w:autoSpaceDN w:val="0"/>
        <w:adjustRightInd w:val="0"/>
        <w:spacing w:before="150" w:after="0" w:line="240" w:lineRule="auto"/>
        <w:ind w:left="720" w:right="720"/>
        <w:rPr>
          <w:rFonts w:ascii="Arial" w:hAnsi="Arial" w:cs="Arial"/>
          <w:sz w:val="20"/>
          <w:szCs w:val="20"/>
        </w:rPr>
      </w:pPr>
      <w:r>
        <w:rPr>
          <w:rFonts w:ascii="Arial" w:hAnsi="Arial" w:cs="Arial"/>
          <w:position w:val="6"/>
          <w:sz w:val="20"/>
          <w:szCs w:val="20"/>
        </w:rPr>
        <w:footnoteRef/>
      </w:r>
      <w:r w:rsidR="003A2F38">
        <w:rPr>
          <w:rFonts w:ascii="Arial" w:hAnsi="Arial" w:cs="Arial"/>
          <w:sz w:val="20"/>
          <w:szCs w:val="20"/>
        </w:rPr>
        <w:t xml:space="preserve"> </w:t>
      </w:r>
      <w:proofErr w:type="gramStart"/>
      <w:r>
        <w:rPr>
          <w:rFonts w:ascii="Arial" w:hAnsi="Arial" w:cs="Arial"/>
          <w:sz w:val="20"/>
          <w:szCs w:val="20"/>
        </w:rPr>
        <w:t xml:space="preserve">"Motion Pictures, History of,"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All rights reserved.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p w:rsidR="009127D7" w:rsidRDefault="009127D7" w:rsidP="009127D7">
      <w:pPr>
        <w:autoSpaceDE w:val="0"/>
        <w:autoSpaceDN w:val="0"/>
        <w:adjustRightInd w:val="0"/>
        <w:spacing w:before="150" w:after="0" w:line="240" w:lineRule="auto"/>
        <w:ind w:left="720" w:right="720"/>
        <w:rPr>
          <w:rFonts w:ascii="Arial" w:hAnsi="Arial" w:cs="Arial"/>
          <w:sz w:val="20"/>
          <w:szCs w:val="20"/>
        </w:rPr>
      </w:pPr>
    </w:p>
  </w:footnote>
  <w:footnote w:id="5">
    <w:p w:rsidR="009B1697" w:rsidRDefault="009B1697" w:rsidP="009B1697">
      <w:pPr>
        <w:autoSpaceDE w:val="0"/>
        <w:autoSpaceDN w:val="0"/>
        <w:adjustRightInd w:val="0"/>
        <w:spacing w:before="150" w:after="0" w:line="240" w:lineRule="auto"/>
        <w:ind w:left="720" w:right="720"/>
        <w:rPr>
          <w:rFonts w:ascii="Arial" w:hAnsi="Arial" w:cs="Arial"/>
          <w:sz w:val="20"/>
          <w:szCs w:val="20"/>
        </w:rPr>
      </w:pPr>
      <w:r>
        <w:rPr>
          <w:rFonts w:ascii="Arial" w:hAnsi="Arial" w:cs="Arial"/>
          <w:position w:val="6"/>
          <w:sz w:val="20"/>
          <w:szCs w:val="20"/>
        </w:rPr>
        <w:footnoteRef/>
      </w:r>
      <w:r w:rsidR="003A2F38">
        <w:rPr>
          <w:rFonts w:ascii="Arial" w:hAnsi="Arial" w:cs="Arial"/>
          <w:sz w:val="20"/>
          <w:szCs w:val="20"/>
        </w:rPr>
        <w:t xml:space="preserve"> </w:t>
      </w:r>
      <w:proofErr w:type="gramStart"/>
      <w:r>
        <w:rPr>
          <w:rFonts w:ascii="Arial" w:hAnsi="Arial" w:cs="Arial"/>
          <w:sz w:val="20"/>
          <w:szCs w:val="20"/>
        </w:rPr>
        <w:t xml:space="preserve">"Rodin, (Francois) </w:t>
      </w:r>
      <w:proofErr w:type="spellStart"/>
      <w:r>
        <w:rPr>
          <w:rFonts w:ascii="Arial" w:hAnsi="Arial" w:cs="Arial"/>
          <w:sz w:val="20"/>
          <w:szCs w:val="20"/>
        </w:rPr>
        <w:t>Auguste</w:t>
      </w:r>
      <w:proofErr w:type="spellEnd"/>
      <w:r>
        <w:rPr>
          <w:rFonts w:ascii="Arial" w:hAnsi="Arial" w:cs="Arial"/>
          <w:sz w:val="20"/>
          <w:szCs w:val="20"/>
        </w:rPr>
        <w:t xml:space="preserve"> Rene," </w:t>
      </w:r>
      <w:r>
        <w:rPr>
          <w:rFonts w:ascii="Arial" w:hAnsi="Arial" w:cs="Arial"/>
          <w:i/>
          <w:iCs/>
          <w:sz w:val="20"/>
          <w:szCs w:val="20"/>
        </w:rPr>
        <w:t>Microsoft® Encarta® 96 Encyclopedia.</w:t>
      </w:r>
      <w:proofErr w:type="gramEnd"/>
      <w:r>
        <w:rPr>
          <w:rFonts w:ascii="Arial" w:hAnsi="Arial" w:cs="Arial"/>
          <w:i/>
          <w:iCs/>
          <w:sz w:val="20"/>
          <w:szCs w:val="20"/>
        </w:rPr>
        <w:t xml:space="preserve"> </w:t>
      </w:r>
      <w:r>
        <w:rPr>
          <w:rFonts w:ascii="Arial" w:hAnsi="Arial" w:cs="Arial"/>
          <w:sz w:val="20"/>
          <w:szCs w:val="20"/>
        </w:rPr>
        <w:t xml:space="preserve">© 1993-1995 Microsoft Corporation. All rights reserved. © Funk &amp; </w:t>
      </w:r>
      <w:proofErr w:type="spellStart"/>
      <w:r>
        <w:rPr>
          <w:rFonts w:ascii="Arial" w:hAnsi="Arial" w:cs="Arial"/>
          <w:sz w:val="20"/>
          <w:szCs w:val="20"/>
        </w:rPr>
        <w:t>Wagnalls</w:t>
      </w:r>
      <w:proofErr w:type="spellEnd"/>
      <w:r>
        <w:rPr>
          <w:rFonts w:ascii="Arial" w:hAnsi="Arial" w:cs="Arial"/>
          <w:sz w:val="20"/>
          <w:szCs w:val="20"/>
        </w:rPr>
        <w:t xml:space="preserve"> Corporation. All rights reserved.</w:t>
      </w:r>
    </w:p>
    <w:p w:rsidR="009B1697" w:rsidRDefault="009B1697" w:rsidP="009B1697">
      <w:pPr>
        <w:autoSpaceDE w:val="0"/>
        <w:autoSpaceDN w:val="0"/>
        <w:adjustRightInd w:val="0"/>
        <w:spacing w:before="150" w:after="0" w:line="240" w:lineRule="auto"/>
        <w:ind w:left="720" w:right="720"/>
        <w:rPr>
          <w:rFonts w:ascii="Arial" w:hAnsi="Arial" w:cs="Arial"/>
          <w:sz w:val="20"/>
          <w:szCs w:val="20"/>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91639"/>
    <w:rsid w:val="000662E4"/>
    <w:rsid w:val="000962AD"/>
    <w:rsid w:val="000E28C0"/>
    <w:rsid w:val="001844A1"/>
    <w:rsid w:val="0018524F"/>
    <w:rsid w:val="0020590B"/>
    <w:rsid w:val="00291639"/>
    <w:rsid w:val="003131EB"/>
    <w:rsid w:val="00344B45"/>
    <w:rsid w:val="003A2F38"/>
    <w:rsid w:val="003E15E7"/>
    <w:rsid w:val="005744B4"/>
    <w:rsid w:val="00646D8F"/>
    <w:rsid w:val="006A2039"/>
    <w:rsid w:val="006E0A41"/>
    <w:rsid w:val="007D08F8"/>
    <w:rsid w:val="00807C44"/>
    <w:rsid w:val="00851B19"/>
    <w:rsid w:val="00906D37"/>
    <w:rsid w:val="009127D7"/>
    <w:rsid w:val="00912B15"/>
    <w:rsid w:val="009B1697"/>
    <w:rsid w:val="00AB50E0"/>
    <w:rsid w:val="00AC2C1A"/>
    <w:rsid w:val="00B8372E"/>
    <w:rsid w:val="00C06663"/>
    <w:rsid w:val="00C616D8"/>
    <w:rsid w:val="00C806A3"/>
    <w:rsid w:val="00CD4C85"/>
    <w:rsid w:val="00D0447A"/>
    <w:rsid w:val="00D11015"/>
    <w:rsid w:val="00DB08F0"/>
    <w:rsid w:val="00DC5FAB"/>
    <w:rsid w:val="00E535A8"/>
    <w:rsid w:val="00E8344C"/>
    <w:rsid w:val="00ED59B6"/>
    <w:rsid w:val="00F07D22"/>
    <w:rsid w:val="00F7248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1684</Words>
  <Characters>9601</Characters>
  <Application>Microsoft Office Word</Application>
  <DocSecurity>0</DocSecurity>
  <Lines>80</Lines>
  <Paragraphs>22</Paragraphs>
  <ScaleCrop>false</ScaleCrop>
  <Company/>
  <LinksUpToDate>false</LinksUpToDate>
  <CharactersWithSpaces>11263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8</cp:revision>
  <dcterms:created xsi:type="dcterms:W3CDTF">2019-08-14T18:52:00Z</dcterms:created>
  <dcterms:modified xsi:type="dcterms:W3CDTF">2019-08-14T18:59:00Z</dcterms:modified>
</cp:coreProperties>
</file>